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5.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99029667"/>
    <w:p w14:paraId="1E8263EE" w14:textId="77777777" w:rsidR="00D31378" w:rsidRDefault="00602AA3" w:rsidP="000303C3">
      <w:pPr>
        <w:pStyle w:val="Heading2"/>
        <w:spacing w:before="0"/>
      </w:pPr>
      <w:sdt>
        <w:sdtPr>
          <w:id w:val="2121950801"/>
          <w:placeholder>
            <w:docPart w:val="8FE0135C8C564A53AEA5DE84A9A5C5AC"/>
          </w:placeholder>
        </w:sdtPr>
        <w:sdtEndPr/>
        <w:sdtContent>
          <w:r w:rsidR="00852EE8" w:rsidRPr="00852EE8">
            <w:t>Vaccination uptake analysis of disabled population aged 12 and over as of 1 March 2022</w:t>
          </w:r>
        </w:sdtContent>
      </w:sdt>
    </w:p>
    <w:bookmarkEnd w:id="0"/>
    <w:p w14:paraId="0B4058E9" w14:textId="77777777" w:rsidR="00852EE8" w:rsidRDefault="00754955" w:rsidP="001B311B">
      <w:pPr>
        <w:pStyle w:val="Heading4"/>
        <w:numPr>
          <w:ilvl w:val="0"/>
          <w:numId w:val="42"/>
        </w:numPr>
        <w:spacing w:before="0"/>
      </w:pPr>
      <w:r>
        <w:t>D</w:t>
      </w:r>
      <w:r w:rsidR="00852EE8" w:rsidRPr="00852EE8">
        <w:t xml:space="preserve">isability status </w:t>
      </w:r>
      <w:r>
        <w:t>by</w:t>
      </w:r>
      <w:r w:rsidR="00852EE8" w:rsidRPr="00852EE8">
        <w:t xml:space="preserve"> total ethnicity – </w:t>
      </w:r>
      <w:r w:rsidR="00606057">
        <w:t xml:space="preserve">aged 12 and older </w:t>
      </w:r>
    </w:p>
    <w:p w14:paraId="3E9FA601" w14:textId="77777777" w:rsidR="00852EE8" w:rsidRPr="00C33093" w:rsidRDefault="00852EE8" w:rsidP="00052D65">
      <w:pPr>
        <w:pStyle w:val="SWABodyTextAfterBullet"/>
        <w:spacing w:before="0"/>
        <w:rPr>
          <w:rFonts w:ascii="Verdana" w:hAnsi="Verdana"/>
          <w:lang w:val="mi-NZ"/>
        </w:rPr>
      </w:pPr>
      <w:r w:rsidRPr="00C33093">
        <w:rPr>
          <w:rFonts w:ascii="Verdana" w:hAnsi="Verdana"/>
        </w:rPr>
        <w:t>The disabled population continues to be better vaccinated (including booster uptake) relative to the non-disabled population</w:t>
      </w:r>
      <w:r w:rsidR="004236C7">
        <w:rPr>
          <w:rFonts w:ascii="Verdana" w:hAnsi="Verdana"/>
        </w:rPr>
        <w:t xml:space="preserve"> (92.8% with one or more doses compared to 88.1%, and 66.2% with three or more doses compared to 48.4%, respectively)</w:t>
      </w:r>
      <w:r w:rsidRPr="00C33093">
        <w:rPr>
          <w:rFonts w:ascii="Verdana" w:hAnsi="Verdana"/>
        </w:rPr>
        <w:t xml:space="preserve">. This trend persists across all six major ethnicity categories. Our analysis aligns with the Ministry of Health reporting which indicates that </w:t>
      </w:r>
      <w:r w:rsidRPr="00C33093">
        <w:rPr>
          <w:rFonts w:ascii="Verdana" w:hAnsi="Verdana"/>
          <w:lang w:val="mi-NZ"/>
        </w:rPr>
        <w:t>Māori and Pasifika People’s vaccination uptake continues to be slower than the rest of the population</w:t>
      </w:r>
      <w:r w:rsidR="004236C7">
        <w:rPr>
          <w:rFonts w:ascii="Verdana" w:hAnsi="Verdana"/>
          <w:lang w:val="mi-NZ"/>
        </w:rPr>
        <w:t xml:space="preserve"> (89.2% of disabled Māori and 82.7% of non-disabled Māori have one or more doses)</w:t>
      </w:r>
      <w:r w:rsidRPr="00C33093">
        <w:rPr>
          <w:rFonts w:ascii="Verdana" w:hAnsi="Verdana"/>
          <w:lang w:val="mi-NZ"/>
        </w:rPr>
        <w:t>.</w:t>
      </w:r>
    </w:p>
    <w:p w14:paraId="0DB05985" w14:textId="77777777" w:rsidR="00E0382D" w:rsidRPr="00852EE8" w:rsidRDefault="00E0382D" w:rsidP="00852EE8">
      <w:pPr>
        <w:spacing w:after="160" w:line="259" w:lineRule="auto"/>
        <w:rPr>
          <w:rFonts w:ascii="Calibri" w:eastAsia="Times New Roman" w:hAnsi="Calibri"/>
          <w:sz w:val="22"/>
          <w:szCs w:val="22"/>
          <w:lang w:val="mi-NZ" w:eastAsia="en-US"/>
        </w:rPr>
      </w:pPr>
      <w:r>
        <w:rPr>
          <w:noProof/>
          <w:lang w:eastAsia="en-NZ"/>
        </w:rPr>
        <w:drawing>
          <wp:inline distT="0" distB="0" distL="0" distR="0" wp14:anchorId="6D06B3B0" wp14:editId="35285708">
            <wp:extent cx="6120130" cy="5400000"/>
            <wp:effectExtent l="0" t="0" r="0" b="0"/>
            <wp:docPr id="6" name="Chart 6" descr="Chart showing vaccination status by disability status and total ethnicity&#10;">
              <a:extLst xmlns:a="http://schemas.openxmlformats.org/drawingml/2006/main">
                <a:ext uri="{FF2B5EF4-FFF2-40B4-BE49-F238E27FC236}">
                  <a16:creationId xmlns:a16="http://schemas.microsoft.com/office/drawing/2014/main" id="{9E70CC0F-1E8F-485D-9C1C-DD7D7AA09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166FF09" w14:textId="77777777" w:rsidR="00852EE8" w:rsidRPr="00852EE8" w:rsidRDefault="00852EE8" w:rsidP="00852EE8">
      <w:pPr>
        <w:keepNext/>
        <w:keepLines/>
        <w:spacing w:before="40" w:after="0" w:line="259" w:lineRule="auto"/>
        <w:outlineLvl w:val="1"/>
        <w:rPr>
          <w:rFonts w:ascii="Calibri Light" w:eastAsia="Times New Roman" w:hAnsi="Calibri Light"/>
          <w:b/>
          <w:bCs/>
          <w:color w:val="2F5496"/>
          <w:sz w:val="26"/>
          <w:szCs w:val="26"/>
          <w:lang w:eastAsia="en-US"/>
        </w:rPr>
      </w:pPr>
      <w:r w:rsidRPr="00852EE8">
        <w:rPr>
          <w:rFonts w:ascii="Calibri Light" w:eastAsia="Times New Roman" w:hAnsi="Calibri Light"/>
          <w:b/>
          <w:bCs/>
          <w:color w:val="2F5496"/>
          <w:sz w:val="26"/>
          <w:szCs w:val="26"/>
          <w:lang w:eastAsia="en-US"/>
        </w:rPr>
        <w:br w:type="page"/>
      </w:r>
    </w:p>
    <w:p w14:paraId="2752CD32" w14:textId="77777777" w:rsidR="00852EE8" w:rsidRPr="00852EE8" w:rsidRDefault="00852EE8" w:rsidP="001B311B">
      <w:pPr>
        <w:pStyle w:val="Heading4"/>
        <w:numPr>
          <w:ilvl w:val="0"/>
          <w:numId w:val="42"/>
        </w:numPr>
        <w:spacing w:before="0"/>
      </w:pPr>
      <w:r w:rsidRPr="00852EE8">
        <w:lastRenderedPageBreak/>
        <w:t>D</w:t>
      </w:r>
      <w:r w:rsidR="006E1F0B">
        <w:t xml:space="preserve">istrict </w:t>
      </w:r>
      <w:r w:rsidRPr="00852EE8">
        <w:t>H</w:t>
      </w:r>
      <w:r w:rsidR="006E1F0B">
        <w:t xml:space="preserve">ealth </w:t>
      </w:r>
      <w:r w:rsidRPr="00852EE8">
        <w:t>B</w:t>
      </w:r>
      <w:r w:rsidR="006E1F0B">
        <w:t>oard</w:t>
      </w:r>
      <w:r w:rsidRPr="00852EE8">
        <w:t xml:space="preserve">s </w:t>
      </w:r>
      <w:r w:rsidR="00754955">
        <w:t xml:space="preserve">– </w:t>
      </w:r>
      <w:r w:rsidR="00606057">
        <w:t>aged 12 and older</w:t>
      </w:r>
    </w:p>
    <w:p w14:paraId="2E96B13C" w14:textId="77777777" w:rsidR="00C846AA" w:rsidRDefault="00852EE8" w:rsidP="001B311B">
      <w:pPr>
        <w:pStyle w:val="SWABodyTextAfterBullet"/>
        <w:rPr>
          <w:rFonts w:ascii="Verdana" w:hAnsi="Verdana"/>
        </w:rPr>
      </w:pPr>
      <w:r w:rsidRPr="00C33093">
        <w:rPr>
          <w:rFonts w:ascii="Verdana" w:hAnsi="Verdana"/>
        </w:rPr>
        <w:t xml:space="preserve">The comparatively higher vaccination rates of disabled people persist across all DHBs. In terms of the </w:t>
      </w:r>
      <w:r w:rsidR="00E16C55" w:rsidRPr="00C33093">
        <w:rPr>
          <w:rFonts w:ascii="Verdana" w:hAnsi="Verdana"/>
        </w:rPr>
        <w:t>percentage</w:t>
      </w:r>
      <w:r w:rsidRPr="00C33093">
        <w:rPr>
          <w:rFonts w:ascii="Verdana" w:hAnsi="Verdana"/>
        </w:rPr>
        <w:t xml:space="preserve"> of people vaccinated (1 or more doses), Northland DHB had the most significant difference (approximately</w:t>
      </w:r>
      <w:r w:rsidR="00A52F58" w:rsidRPr="00C33093">
        <w:rPr>
          <w:rFonts w:ascii="Verdana" w:hAnsi="Verdana"/>
        </w:rPr>
        <w:t xml:space="preserve"> 8</w:t>
      </w:r>
      <w:r w:rsidRPr="00C33093">
        <w:rPr>
          <w:rFonts w:ascii="Verdana" w:hAnsi="Verdana"/>
        </w:rPr>
        <w:t xml:space="preserve"> percentage points</w:t>
      </w:r>
      <w:r w:rsidR="004236C7">
        <w:rPr>
          <w:rFonts w:ascii="Verdana" w:hAnsi="Verdana"/>
        </w:rPr>
        <w:t>, 89% vs 81%</w:t>
      </w:r>
      <w:r w:rsidRPr="00C33093">
        <w:rPr>
          <w:rFonts w:ascii="Verdana" w:hAnsi="Verdana"/>
        </w:rPr>
        <w:t>) between disabled and non-disabled people. Capital and Coast DHB had the smallest difference, approximately 3</w:t>
      </w:r>
      <w:r w:rsidR="00A52F58" w:rsidRPr="00C33093">
        <w:rPr>
          <w:rFonts w:ascii="Verdana" w:hAnsi="Verdana"/>
        </w:rPr>
        <w:t xml:space="preserve"> </w:t>
      </w:r>
      <w:r w:rsidRPr="00C33093">
        <w:rPr>
          <w:rFonts w:ascii="Verdana" w:hAnsi="Verdana"/>
        </w:rPr>
        <w:t>percentage points</w:t>
      </w:r>
      <w:r w:rsidR="004236C7">
        <w:rPr>
          <w:rFonts w:ascii="Verdana" w:hAnsi="Verdana"/>
        </w:rPr>
        <w:t xml:space="preserve"> (95% vs 92%)</w:t>
      </w:r>
      <w:r w:rsidRPr="00C33093">
        <w:rPr>
          <w:rFonts w:ascii="Verdana" w:hAnsi="Verdana"/>
        </w:rPr>
        <w:t>.</w:t>
      </w:r>
      <w:r w:rsidR="00E0382D">
        <w:rPr>
          <w:noProof/>
        </w:rPr>
        <w:drawing>
          <wp:inline distT="0" distB="0" distL="0" distR="0" wp14:anchorId="679F9D8E" wp14:editId="716C2DA5">
            <wp:extent cx="6120130" cy="3420000"/>
            <wp:effectExtent l="0" t="0" r="0" b="0"/>
            <wp:docPr id="1" name="Chart 1" descr="Chart showing vaccination status by disability status across upper North Island DHBs&#10;">
              <a:extLst xmlns:a="http://schemas.openxmlformats.org/drawingml/2006/main">
                <a:ext uri="{FF2B5EF4-FFF2-40B4-BE49-F238E27FC236}">
                  <a16:creationId xmlns:a16="http://schemas.microsoft.com/office/drawing/2014/main" id="{B54394AA-7C5D-49CA-8B79-AC90C651C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C846AA">
        <w:rPr>
          <w:noProof/>
        </w:rPr>
        <w:drawing>
          <wp:inline distT="0" distB="0" distL="0" distR="0" wp14:anchorId="5E2003B5" wp14:editId="0D3B1ED5">
            <wp:extent cx="6120130" cy="3420000"/>
            <wp:effectExtent l="0" t="0" r="0" b="0"/>
            <wp:docPr id="8" name="Chart 8" descr="Chart showing vaccination status by disability status across lower North Island DHBs&#10;">
              <a:extLst xmlns:a="http://schemas.openxmlformats.org/drawingml/2006/main">
                <a:ext uri="{FF2B5EF4-FFF2-40B4-BE49-F238E27FC236}">
                  <a16:creationId xmlns:a16="http://schemas.microsoft.com/office/drawing/2014/main" id="{85BCE9E7-FEE9-4861-90B5-AE99ABE6F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1A1BDE" w14:textId="77777777" w:rsidR="00E0382D" w:rsidRPr="00852EE8" w:rsidRDefault="00E0382D" w:rsidP="001B311B">
      <w:pPr>
        <w:pStyle w:val="SWABodyTextAfterBullet"/>
        <w:rPr>
          <w:rFonts w:ascii="Calibri Light" w:eastAsia="Times New Roman" w:hAnsi="Calibri Light"/>
          <w:b/>
          <w:bCs/>
          <w:color w:val="2F5496"/>
          <w:sz w:val="26"/>
          <w:szCs w:val="26"/>
          <w:lang w:eastAsia="en-US"/>
        </w:rPr>
      </w:pPr>
      <w:r>
        <w:rPr>
          <w:noProof/>
        </w:rPr>
        <w:lastRenderedPageBreak/>
        <w:drawing>
          <wp:inline distT="0" distB="0" distL="0" distR="0" wp14:anchorId="301A9052" wp14:editId="061F6373">
            <wp:extent cx="6120130" cy="3420000"/>
            <wp:effectExtent l="0" t="0" r="0" b="0"/>
            <wp:docPr id="10" name="Chart 10" descr="Chart showing vaccination status by disability status across South Island DHBs&#10;">
              <a:extLst xmlns:a="http://schemas.openxmlformats.org/drawingml/2006/main">
                <a:ext uri="{FF2B5EF4-FFF2-40B4-BE49-F238E27FC236}">
                  <a16:creationId xmlns:a16="http://schemas.microsoft.com/office/drawing/2014/main" id="{B75E1845-A2BC-45DC-B384-50A2BBD4A6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2AC0205" w14:textId="77777777" w:rsidR="00852EE8" w:rsidRPr="00052D65" w:rsidRDefault="006E1F0B" w:rsidP="001B311B">
      <w:pPr>
        <w:pStyle w:val="Heading4"/>
        <w:numPr>
          <w:ilvl w:val="0"/>
          <w:numId w:val="42"/>
        </w:numPr>
        <w:spacing w:before="0"/>
      </w:pPr>
      <w:r>
        <w:t>Age</w:t>
      </w:r>
      <w:r w:rsidR="00754955" w:rsidRPr="00052D65">
        <w:t xml:space="preserve"> </w:t>
      </w:r>
      <w:r w:rsidR="00852EE8" w:rsidRPr="00052D65">
        <w:t>group</w:t>
      </w:r>
      <w:r w:rsidR="00754955" w:rsidRPr="00052D65">
        <w:t xml:space="preserve"> – </w:t>
      </w:r>
      <w:r w:rsidR="00606057" w:rsidRPr="00052D65">
        <w:t>aged 12 and older</w:t>
      </w:r>
    </w:p>
    <w:p w14:paraId="6BD642A5" w14:textId="77777777" w:rsidR="00852EE8" w:rsidRPr="00852EE8" w:rsidRDefault="00852EE8" w:rsidP="00052D65">
      <w:pPr>
        <w:spacing w:after="160" w:line="259" w:lineRule="auto"/>
        <w:rPr>
          <w:rFonts w:ascii="Calibri Light" w:eastAsia="Times New Roman" w:hAnsi="Calibri Light"/>
          <w:b/>
          <w:bCs/>
          <w:color w:val="2F5496"/>
          <w:sz w:val="26"/>
          <w:szCs w:val="26"/>
          <w:lang w:eastAsia="en-US"/>
        </w:rPr>
      </w:pPr>
      <w:r w:rsidRPr="00C33093">
        <w:rPr>
          <w:rFonts w:ascii="Verdana" w:hAnsi="Verdana"/>
          <w:szCs w:val="22"/>
          <w:lang w:eastAsia="en-NZ"/>
        </w:rPr>
        <w:t>There are level shifts in the uptake of 3 or more doses of the vaccine across age groups, consistent with the initial rollout of the vaccine based on priority groups, particularly age.</w:t>
      </w:r>
      <w:r w:rsidR="00EF1AA1">
        <w:rPr>
          <w:rFonts w:ascii="Verdana" w:hAnsi="Verdana"/>
          <w:szCs w:val="22"/>
          <w:lang w:eastAsia="en-NZ"/>
        </w:rPr>
        <w:t xml:space="preserve"> For example, among disabled people, 20% of 12–24-year-olds have 3 or more doses compared to 62% of 25–64-year-olds and 84% of 65-year-olds and older.</w:t>
      </w:r>
      <w:r w:rsidRPr="00C33093">
        <w:rPr>
          <w:rFonts w:ascii="Verdana" w:hAnsi="Verdana"/>
          <w:szCs w:val="22"/>
          <w:lang w:eastAsia="en-NZ"/>
        </w:rPr>
        <w:t xml:space="preserve"> The difference in vaccination rates between disabled and non-disabled people is more pronounced among </w:t>
      </w:r>
      <w:r w:rsidR="00EF1AA1">
        <w:rPr>
          <w:rFonts w:ascii="Verdana" w:hAnsi="Verdana"/>
          <w:szCs w:val="22"/>
          <w:lang w:eastAsia="en-NZ"/>
        </w:rPr>
        <w:t xml:space="preserve">people </w:t>
      </w:r>
      <w:r w:rsidR="004236C7">
        <w:rPr>
          <w:rFonts w:ascii="Verdana" w:hAnsi="Verdana"/>
          <w:szCs w:val="22"/>
          <w:lang w:eastAsia="en-NZ"/>
        </w:rPr>
        <w:t>65</w:t>
      </w:r>
      <w:r w:rsidR="00EF1AA1">
        <w:rPr>
          <w:rFonts w:ascii="Verdana" w:hAnsi="Verdana"/>
          <w:szCs w:val="22"/>
          <w:lang w:eastAsia="en-NZ"/>
        </w:rPr>
        <w:t xml:space="preserve"> years-old</w:t>
      </w:r>
      <w:r w:rsidR="004236C7">
        <w:rPr>
          <w:rFonts w:ascii="Verdana" w:hAnsi="Verdana"/>
          <w:szCs w:val="22"/>
          <w:lang w:eastAsia="en-NZ"/>
        </w:rPr>
        <w:t xml:space="preserve"> or older</w:t>
      </w:r>
      <w:r w:rsidR="00EF1AA1">
        <w:rPr>
          <w:rFonts w:ascii="Verdana" w:hAnsi="Verdana"/>
          <w:szCs w:val="22"/>
          <w:lang w:eastAsia="en-NZ"/>
        </w:rPr>
        <w:t xml:space="preserve"> (84% vs 75%)</w:t>
      </w:r>
      <w:r w:rsidRPr="00C33093">
        <w:rPr>
          <w:rFonts w:ascii="Verdana" w:hAnsi="Verdana"/>
          <w:szCs w:val="22"/>
          <w:lang w:eastAsia="en-NZ"/>
        </w:rPr>
        <w:t>. However, difficulty identifying young people with disabilities in the data may explain some of this trend</w:t>
      </w:r>
      <w:r w:rsidR="003B3DD9" w:rsidRPr="00C33093">
        <w:rPr>
          <w:rFonts w:ascii="Verdana" w:hAnsi="Verdana"/>
          <w:szCs w:val="22"/>
          <w:lang w:eastAsia="en-NZ"/>
        </w:rPr>
        <w:t>, see Appendix 4.</w:t>
      </w:r>
      <w:r w:rsidR="00776EB4">
        <w:rPr>
          <w:rFonts w:ascii="Calibri" w:eastAsia="Times New Roman" w:hAnsi="Calibri"/>
          <w:sz w:val="22"/>
          <w:szCs w:val="22"/>
          <w:lang w:eastAsia="en-US"/>
        </w:rPr>
        <w:t xml:space="preserve"> </w:t>
      </w:r>
      <w:r w:rsidR="00182BDB">
        <w:rPr>
          <w:noProof/>
          <w:lang w:eastAsia="en-NZ"/>
        </w:rPr>
        <w:drawing>
          <wp:inline distT="0" distB="0" distL="0" distR="0" wp14:anchorId="7D36D517" wp14:editId="3B99DAE7">
            <wp:extent cx="6120130" cy="3420000"/>
            <wp:effectExtent l="0" t="0" r="0" b="0"/>
            <wp:docPr id="12" name="Chart 12" descr="Chart showing vaccination status by disability status and age group&#10;">
              <a:extLst xmlns:a="http://schemas.openxmlformats.org/drawingml/2006/main">
                <a:ext uri="{FF2B5EF4-FFF2-40B4-BE49-F238E27FC236}">
                  <a16:creationId xmlns:a16="http://schemas.microsoft.com/office/drawing/2014/main" id="{648C3812-8BFF-4C20-99C5-7DB20B8A01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852EE8">
        <w:rPr>
          <w:rFonts w:ascii="Calibri Light" w:eastAsia="Times New Roman" w:hAnsi="Calibri Light"/>
          <w:b/>
          <w:bCs/>
          <w:color w:val="2F5496"/>
          <w:sz w:val="26"/>
          <w:szCs w:val="26"/>
          <w:lang w:eastAsia="en-US"/>
        </w:rPr>
        <w:br w:type="page"/>
      </w:r>
    </w:p>
    <w:p w14:paraId="15C7A310" w14:textId="77777777" w:rsidR="00852EE8" w:rsidRPr="00052D65" w:rsidRDefault="00754955" w:rsidP="001B311B">
      <w:pPr>
        <w:pStyle w:val="Heading4"/>
        <w:numPr>
          <w:ilvl w:val="0"/>
          <w:numId w:val="42"/>
        </w:numPr>
        <w:spacing w:before="0"/>
      </w:pPr>
      <w:r w:rsidRPr="00052D65">
        <w:lastRenderedPageBreak/>
        <w:t>Functional</w:t>
      </w:r>
      <w:r w:rsidR="00852EE8" w:rsidRPr="00052D65">
        <w:t xml:space="preserve"> difficulty </w:t>
      </w:r>
      <w:r w:rsidRPr="00052D65">
        <w:t>by</w:t>
      </w:r>
      <w:r w:rsidR="00852EE8" w:rsidRPr="00052D65">
        <w:t xml:space="preserve"> age group</w:t>
      </w:r>
      <w:r w:rsidRPr="00052D65">
        <w:t xml:space="preserve"> – </w:t>
      </w:r>
      <w:r w:rsidR="00606057" w:rsidRPr="00052D65">
        <w:t>aged 12 and older</w:t>
      </w:r>
    </w:p>
    <w:p w14:paraId="26C75EAD" w14:textId="77777777" w:rsidR="00852EE8" w:rsidRPr="00C33093" w:rsidRDefault="00852EE8" w:rsidP="00052D65">
      <w:pPr>
        <w:pStyle w:val="SWABodyTextAfterBullet"/>
        <w:spacing w:before="0"/>
        <w:rPr>
          <w:rFonts w:ascii="Verdana" w:hAnsi="Verdana"/>
        </w:rPr>
      </w:pPr>
      <w:r w:rsidRPr="00C33093">
        <w:rPr>
          <w:rFonts w:ascii="Verdana" w:hAnsi="Verdana"/>
        </w:rPr>
        <w:t>Disabled younger people (aged 12 to 24) with a functional difficulty related to washing or communication, have slightly lower vaccination uptake compared to non-disabled people, and disabled people with other types of functional difficulties</w:t>
      </w:r>
      <w:r w:rsidR="00023BF5">
        <w:rPr>
          <w:rFonts w:ascii="Verdana" w:hAnsi="Verdana"/>
        </w:rPr>
        <w:t xml:space="preserve"> (88% and 89% of disabled people with washing and communication difficulties have one or more doses compared to 90% of non-disabled people)</w:t>
      </w:r>
      <w:r w:rsidRPr="00C33093">
        <w:rPr>
          <w:rFonts w:ascii="Verdana" w:hAnsi="Verdana"/>
        </w:rPr>
        <w:t xml:space="preserve">. For older age groups (25 to 64 and 65+), disabled people across all functional difficulties have higher vaccination uptake than non-disabled people.  </w:t>
      </w:r>
    </w:p>
    <w:p w14:paraId="4987DFB9" w14:textId="77777777" w:rsidR="00852EE8" w:rsidRPr="00852EE8" w:rsidRDefault="00A52F58" w:rsidP="00852EE8">
      <w:pPr>
        <w:keepNext/>
        <w:keepLines/>
        <w:spacing w:before="40" w:after="0" w:line="259" w:lineRule="auto"/>
        <w:outlineLvl w:val="1"/>
        <w:rPr>
          <w:rFonts w:ascii="Calibri Light" w:eastAsia="Times New Roman" w:hAnsi="Calibri Light"/>
          <w:b/>
          <w:bCs/>
          <w:color w:val="2F5496"/>
          <w:sz w:val="26"/>
          <w:szCs w:val="26"/>
          <w:lang w:eastAsia="en-US"/>
        </w:rPr>
      </w:pPr>
      <w:r>
        <w:rPr>
          <w:noProof/>
          <w:lang w:eastAsia="en-NZ"/>
        </w:rPr>
        <w:drawing>
          <wp:inline distT="0" distB="0" distL="0" distR="0" wp14:anchorId="186F9A06" wp14:editId="0C74A44F">
            <wp:extent cx="6120130" cy="3600000"/>
            <wp:effectExtent l="0" t="0" r="0" b="635"/>
            <wp:docPr id="11" name="Chart 11" descr="Chart showing vaccination status by functional difficulty and age - 12 to 24 year olds &#10;">
              <a:extLst xmlns:a="http://schemas.openxmlformats.org/drawingml/2006/main">
                <a:ext uri="{FF2B5EF4-FFF2-40B4-BE49-F238E27FC236}">
                  <a16:creationId xmlns:a16="http://schemas.microsoft.com/office/drawing/2014/main" id="{79D0931D-280E-43DD-8032-784036EB85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Del="00A52F58">
        <w:rPr>
          <w:noProof/>
        </w:rPr>
        <w:t xml:space="preserve"> </w:t>
      </w:r>
    </w:p>
    <w:p w14:paraId="7C9EA3FB" w14:textId="77777777" w:rsidR="00852EE8" w:rsidRPr="00852EE8" w:rsidRDefault="00A52F58" w:rsidP="00852EE8">
      <w:pPr>
        <w:spacing w:after="160" w:line="259" w:lineRule="auto"/>
        <w:rPr>
          <w:rFonts w:ascii="Calibri" w:eastAsia="Calibri" w:hAnsi="Calibri"/>
          <w:noProof/>
          <w:sz w:val="22"/>
          <w:szCs w:val="22"/>
          <w:lang w:eastAsia="en-US"/>
        </w:rPr>
      </w:pPr>
      <w:r>
        <w:rPr>
          <w:noProof/>
          <w:lang w:eastAsia="en-NZ"/>
        </w:rPr>
        <w:drawing>
          <wp:inline distT="0" distB="0" distL="0" distR="0" wp14:anchorId="71D03327" wp14:editId="5B4751CF">
            <wp:extent cx="6120130" cy="3600000"/>
            <wp:effectExtent l="0" t="0" r="0" b="635"/>
            <wp:docPr id="16" name="Chart 16" descr="Chart showing vaccination status by functional difficulty and age - 25 to 64 year olds &#10;">
              <a:extLst xmlns:a="http://schemas.openxmlformats.org/drawingml/2006/main">
                <a:ext uri="{FF2B5EF4-FFF2-40B4-BE49-F238E27FC236}">
                  <a16:creationId xmlns:a16="http://schemas.microsoft.com/office/drawing/2014/main" id="{0E406C7D-BFF3-4AD7-82DA-506DE70A0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05C3F9" w14:textId="77777777" w:rsidR="00852EE8" w:rsidRPr="00852EE8" w:rsidRDefault="00A52F58" w:rsidP="00852EE8">
      <w:pPr>
        <w:spacing w:after="160" w:line="259" w:lineRule="auto"/>
        <w:rPr>
          <w:rFonts w:ascii="Calibri" w:eastAsia="Calibri" w:hAnsi="Calibri"/>
          <w:noProof/>
          <w:sz w:val="22"/>
          <w:szCs w:val="22"/>
          <w:lang w:eastAsia="en-US"/>
        </w:rPr>
      </w:pPr>
      <w:r>
        <w:rPr>
          <w:noProof/>
          <w:lang w:eastAsia="en-NZ"/>
        </w:rPr>
        <w:lastRenderedPageBreak/>
        <w:drawing>
          <wp:inline distT="0" distB="0" distL="0" distR="0" wp14:anchorId="5A1A48BD" wp14:editId="3D6572FF">
            <wp:extent cx="6120130" cy="3600000"/>
            <wp:effectExtent l="0" t="0" r="0" b="635"/>
            <wp:docPr id="14" name="Chart 14" descr="Chart showing vaccination status by functional difficulty and age - 65+ year olds &#10;">
              <a:extLst xmlns:a="http://schemas.openxmlformats.org/drawingml/2006/main">
                <a:ext uri="{FF2B5EF4-FFF2-40B4-BE49-F238E27FC236}">
                  <a16:creationId xmlns:a16="http://schemas.microsoft.com/office/drawing/2014/main" id="{E9ECA99F-F283-4CA2-93BB-DE473DE41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Del="00A52F58">
        <w:rPr>
          <w:noProof/>
        </w:rPr>
        <w:t xml:space="preserve"> </w:t>
      </w:r>
    </w:p>
    <w:p w14:paraId="113C27F6" w14:textId="77777777" w:rsidR="00852EE8" w:rsidRPr="00852EE8" w:rsidRDefault="00852EE8" w:rsidP="00852EE8">
      <w:pPr>
        <w:spacing w:after="160" w:line="259" w:lineRule="auto"/>
        <w:rPr>
          <w:rFonts w:ascii="Calibri" w:eastAsia="Calibri" w:hAnsi="Calibri"/>
          <w:noProof/>
          <w:sz w:val="22"/>
          <w:szCs w:val="22"/>
          <w:lang w:eastAsia="en-US"/>
        </w:rPr>
      </w:pPr>
    </w:p>
    <w:p w14:paraId="4BD5CFA0" w14:textId="77777777" w:rsidR="00852EE8" w:rsidRPr="00852EE8" w:rsidRDefault="00852EE8" w:rsidP="00852EE8">
      <w:pPr>
        <w:spacing w:after="160" w:line="259" w:lineRule="auto"/>
        <w:rPr>
          <w:rFonts w:ascii="Calibri" w:eastAsia="Calibri" w:hAnsi="Calibri"/>
          <w:noProof/>
          <w:sz w:val="22"/>
          <w:szCs w:val="22"/>
          <w:lang w:eastAsia="en-US"/>
        </w:rPr>
      </w:pPr>
    </w:p>
    <w:p w14:paraId="648AFCFF" w14:textId="77777777" w:rsidR="00852EE8" w:rsidRDefault="00852EE8" w:rsidP="00852EE8">
      <w:pPr>
        <w:pStyle w:val="Heading2"/>
      </w:pPr>
      <w:r>
        <w:br w:type="page"/>
      </w:r>
      <w:sdt>
        <w:sdtPr>
          <w:id w:val="2073534590"/>
          <w:placeholder>
            <w:docPart w:val="532003B2E7DE469C86811DBACE2A09D4"/>
          </w:placeholder>
        </w:sdtPr>
        <w:sdtEndPr/>
        <w:sdtContent>
          <w:r>
            <w:rPr>
              <w:rFonts w:eastAsia="Times New Roman"/>
              <w:bCs/>
            </w:rPr>
            <w:t>Vaccination uptake analysis of disabled children aged 5-11 as of 1 March 2022</w:t>
          </w:r>
          <w:r>
            <w:t xml:space="preserve">  </w:t>
          </w:r>
        </w:sdtContent>
      </w:sdt>
    </w:p>
    <w:p w14:paraId="4318B49A" w14:textId="77777777" w:rsidR="00052D65" w:rsidRPr="00052D65" w:rsidRDefault="00754955" w:rsidP="00052D65">
      <w:pPr>
        <w:pStyle w:val="ListParagraph"/>
        <w:numPr>
          <w:ilvl w:val="0"/>
          <w:numId w:val="37"/>
        </w:numPr>
        <w:spacing w:after="160" w:line="259" w:lineRule="auto"/>
        <w:rPr>
          <w:rFonts w:ascii="Arial" w:hAnsi="Arial"/>
          <w:b/>
          <w:color w:val="2A2A3E"/>
          <w:szCs w:val="22"/>
          <w:lang w:eastAsia="en-NZ"/>
        </w:rPr>
      </w:pPr>
      <w:r w:rsidRPr="00052D65">
        <w:rPr>
          <w:rFonts w:ascii="Arial" w:hAnsi="Arial"/>
          <w:b/>
          <w:color w:val="2A2A3E"/>
          <w:szCs w:val="22"/>
          <w:lang w:eastAsia="en-NZ"/>
        </w:rPr>
        <w:t>D</w:t>
      </w:r>
      <w:r w:rsidR="00852EE8" w:rsidRPr="00052D65">
        <w:rPr>
          <w:rFonts w:ascii="Arial" w:hAnsi="Arial"/>
          <w:b/>
          <w:color w:val="2A2A3E"/>
          <w:szCs w:val="22"/>
          <w:lang w:eastAsia="en-NZ"/>
        </w:rPr>
        <w:t xml:space="preserve">isability status </w:t>
      </w:r>
      <w:r w:rsidRPr="00052D65">
        <w:rPr>
          <w:rFonts w:ascii="Arial" w:hAnsi="Arial"/>
          <w:b/>
          <w:color w:val="2A2A3E"/>
          <w:szCs w:val="22"/>
          <w:lang w:eastAsia="en-NZ"/>
        </w:rPr>
        <w:t>by</w:t>
      </w:r>
      <w:r w:rsidR="00852EE8" w:rsidRPr="00052D65">
        <w:rPr>
          <w:rFonts w:ascii="Arial" w:hAnsi="Arial"/>
          <w:b/>
          <w:color w:val="2A2A3E"/>
          <w:szCs w:val="22"/>
          <w:lang w:eastAsia="en-NZ"/>
        </w:rPr>
        <w:t xml:space="preserve"> total ethnicity </w:t>
      </w:r>
      <w:r w:rsidR="006E0808">
        <w:rPr>
          <w:rFonts w:ascii="Arial" w:hAnsi="Arial"/>
          <w:b/>
          <w:color w:val="2A2A3E"/>
          <w:szCs w:val="22"/>
          <w:lang w:eastAsia="en-NZ"/>
        </w:rPr>
        <w:t>– 5-</w:t>
      </w:r>
      <w:r w:rsidR="000924D7" w:rsidRPr="00052D65">
        <w:rPr>
          <w:rFonts w:ascii="Arial" w:hAnsi="Arial"/>
          <w:b/>
          <w:color w:val="2A2A3E"/>
          <w:szCs w:val="22"/>
          <w:lang w:eastAsia="en-NZ"/>
        </w:rPr>
        <w:t>11-year-olds</w:t>
      </w:r>
    </w:p>
    <w:p w14:paraId="25D55C5A" w14:textId="77777777" w:rsidR="00852EE8" w:rsidRPr="00C33093" w:rsidRDefault="00852EE8" w:rsidP="001A0A40">
      <w:pPr>
        <w:spacing w:after="160" w:line="259" w:lineRule="auto"/>
        <w:rPr>
          <w:rFonts w:ascii="Verdana" w:eastAsia="Calibri" w:hAnsi="Verdana"/>
          <w:sz w:val="22"/>
          <w:szCs w:val="22"/>
          <w:lang w:eastAsia="en-US"/>
        </w:rPr>
      </w:pPr>
      <w:r w:rsidRPr="00C33093">
        <w:rPr>
          <w:rFonts w:ascii="Verdana" w:hAnsi="Verdana"/>
          <w:szCs w:val="22"/>
          <w:lang w:eastAsia="en-NZ"/>
        </w:rPr>
        <w:t>Disabled children tend to have slightly higher vaccination rates than non-disabled children, across and within the six high level ethnicities. This is especially true for ethnic groups with overall lower vaccination rates, such as Māori, Pacific and MELAA</w:t>
      </w:r>
      <w:r w:rsidR="00023BF5">
        <w:rPr>
          <w:rFonts w:ascii="Verdana" w:hAnsi="Verdana"/>
          <w:szCs w:val="22"/>
          <w:lang w:eastAsia="en-NZ"/>
        </w:rPr>
        <w:t xml:space="preserve"> (39% vs 32% for Māori, 44% vs 41% for Pacific, and 49% vs 46% for MELAA)</w:t>
      </w:r>
      <w:r w:rsidRPr="00C33093">
        <w:rPr>
          <w:rFonts w:ascii="Verdana" w:hAnsi="Verdana"/>
          <w:szCs w:val="22"/>
          <w:lang w:eastAsia="en-NZ"/>
        </w:rPr>
        <w:t>.</w:t>
      </w:r>
      <w:r w:rsidRPr="00C33093">
        <w:rPr>
          <w:rFonts w:ascii="Verdana" w:eastAsia="Calibri" w:hAnsi="Verdana"/>
          <w:sz w:val="22"/>
          <w:szCs w:val="22"/>
          <w:lang w:eastAsia="en-US"/>
        </w:rPr>
        <w:t xml:space="preserve"> </w:t>
      </w:r>
    </w:p>
    <w:p w14:paraId="0544AB76" w14:textId="77777777" w:rsidR="00852EE8" w:rsidRDefault="00852EE8" w:rsidP="00852EE8">
      <w:pPr>
        <w:spacing w:after="160" w:line="259" w:lineRule="auto"/>
        <w:rPr>
          <w:rFonts w:ascii="Calibri" w:eastAsia="Calibri" w:hAnsi="Calibri"/>
          <w:sz w:val="22"/>
          <w:szCs w:val="22"/>
          <w:lang w:eastAsia="en-US"/>
        </w:rPr>
      </w:pPr>
      <w:r w:rsidRPr="00852EE8">
        <w:rPr>
          <w:rFonts w:ascii="Calibri" w:eastAsia="Calibri" w:hAnsi="Calibri"/>
          <w:noProof/>
          <w:sz w:val="22"/>
          <w:szCs w:val="22"/>
          <w:lang w:eastAsia="en-NZ"/>
        </w:rPr>
        <w:drawing>
          <wp:inline distT="0" distB="0" distL="0" distR="0" wp14:anchorId="77F96F88" wp14:editId="3738BEE0">
            <wp:extent cx="5731510" cy="4320000"/>
            <wp:effectExtent l="0" t="0" r="2540" b="4445"/>
            <wp:docPr id="33" name="Chart 33" descr="Chart showing % of children aged 5-11 vaccinated by disability status and total ethnicity&#10;">
              <a:extLst xmlns:a="http://schemas.openxmlformats.org/drawingml/2006/main">
                <a:ext uri="{FF2B5EF4-FFF2-40B4-BE49-F238E27FC236}">
                  <a16:creationId xmlns:a16="http://schemas.microsoft.com/office/drawing/2014/main" id="{888CF2CC-CDDD-42CD-96EE-00D83EA41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727B46" w14:textId="77777777" w:rsidR="001C13FB" w:rsidRDefault="001C13FB" w:rsidP="00852EE8">
      <w:pPr>
        <w:spacing w:after="160" w:line="259" w:lineRule="auto"/>
        <w:rPr>
          <w:rFonts w:ascii="Calibri" w:eastAsia="Calibri" w:hAnsi="Calibri"/>
          <w:sz w:val="22"/>
          <w:szCs w:val="22"/>
          <w:lang w:eastAsia="en-US"/>
        </w:rPr>
      </w:pPr>
      <w:r>
        <w:rPr>
          <w:rFonts w:ascii="Calibri" w:eastAsia="Calibri" w:hAnsi="Calibri"/>
          <w:sz w:val="22"/>
          <w:szCs w:val="22"/>
          <w:lang w:eastAsia="en-US"/>
        </w:rPr>
        <w:br w:type="page"/>
      </w:r>
    </w:p>
    <w:p w14:paraId="60F0091D" w14:textId="77777777" w:rsidR="00852EE8" w:rsidRPr="00052D65" w:rsidRDefault="00852EE8" w:rsidP="00052D65">
      <w:pPr>
        <w:pStyle w:val="Heading4"/>
        <w:numPr>
          <w:ilvl w:val="0"/>
          <w:numId w:val="37"/>
        </w:numPr>
        <w:spacing w:before="0"/>
      </w:pPr>
      <w:bookmarkStart w:id="1" w:name="_Hlk98503784"/>
      <w:r w:rsidRPr="006E0808">
        <w:lastRenderedPageBreak/>
        <w:t>D</w:t>
      </w:r>
      <w:r w:rsidR="006E1F0B">
        <w:t xml:space="preserve">istrict </w:t>
      </w:r>
      <w:r w:rsidRPr="006E0808">
        <w:t>H</w:t>
      </w:r>
      <w:r w:rsidR="006E1F0B">
        <w:t xml:space="preserve">ealth </w:t>
      </w:r>
      <w:r w:rsidRPr="006E0808">
        <w:t>B</w:t>
      </w:r>
      <w:r w:rsidR="006E1F0B">
        <w:t>oard</w:t>
      </w:r>
      <w:r w:rsidRPr="006E0808">
        <w:t>s</w:t>
      </w:r>
      <w:bookmarkEnd w:id="1"/>
      <w:r w:rsidR="00754955" w:rsidRPr="006E0808">
        <w:t xml:space="preserve"> </w:t>
      </w:r>
      <w:r w:rsidR="006E0808" w:rsidRPr="001A0A40">
        <w:t>– 5-</w:t>
      </w:r>
      <w:r w:rsidR="006E0808" w:rsidRPr="00052D65">
        <w:t>11-year-olds</w:t>
      </w:r>
    </w:p>
    <w:p w14:paraId="739A91D2" w14:textId="77777777" w:rsidR="00852EE8" w:rsidRPr="00C33093" w:rsidRDefault="00852EE8" w:rsidP="00052D65">
      <w:pPr>
        <w:pStyle w:val="SWABodyTextAfterBullet"/>
        <w:spacing w:before="0"/>
        <w:rPr>
          <w:rFonts w:ascii="Verdana" w:hAnsi="Verdana"/>
        </w:rPr>
      </w:pPr>
      <w:r w:rsidRPr="00C33093">
        <w:rPr>
          <w:rFonts w:ascii="Verdana" w:hAnsi="Verdana"/>
        </w:rPr>
        <w:t>Disabled children have slightly higher vaccination rates than non-disabled children across DHBs except for Capital and Coast DHB</w:t>
      </w:r>
      <w:r w:rsidR="00023BF5">
        <w:rPr>
          <w:rFonts w:ascii="Verdana" w:hAnsi="Verdana"/>
        </w:rPr>
        <w:t xml:space="preserve"> (66% vs 68%)</w:t>
      </w:r>
      <w:r w:rsidRPr="00C33093">
        <w:rPr>
          <w:rFonts w:ascii="Verdana" w:hAnsi="Verdana"/>
        </w:rPr>
        <w:t xml:space="preserve">.  However, it should be noted that Capital and Coast DHB has one of the highest vaccination rates for both disabled and non-disabled children in the country. While this indicates that – for a given DHB – disabled children are more likely to be vaccinated than their non-disabled peers, this does not mean disabled children are vaccinated at equal rates across the country. For example, in Auckland 67% of disabled children and 66% of non-disabled children are vaccinated, whereas in Northland only 34% of disabled children and 30% of non-disabled children are vaccinated. </w:t>
      </w:r>
    </w:p>
    <w:p w14:paraId="0BD921E6" w14:textId="77777777" w:rsidR="00852EE8" w:rsidRPr="00852EE8" w:rsidRDefault="00852EE8" w:rsidP="00852EE8">
      <w:pPr>
        <w:spacing w:after="160" w:line="259" w:lineRule="auto"/>
        <w:rPr>
          <w:rFonts w:ascii="Calibri" w:eastAsia="Calibri" w:hAnsi="Calibri"/>
          <w:sz w:val="22"/>
          <w:szCs w:val="22"/>
          <w:lang w:eastAsia="en-US"/>
        </w:rPr>
      </w:pPr>
      <w:r w:rsidRPr="00852EE8">
        <w:rPr>
          <w:rFonts w:ascii="Calibri" w:eastAsia="Calibri" w:hAnsi="Calibri"/>
          <w:noProof/>
          <w:sz w:val="22"/>
          <w:szCs w:val="22"/>
          <w:lang w:eastAsia="en-NZ"/>
        </w:rPr>
        <w:drawing>
          <wp:inline distT="0" distB="0" distL="0" distR="0" wp14:anchorId="16FF64A1" wp14:editId="5EC43261">
            <wp:extent cx="5731510" cy="3240000"/>
            <wp:effectExtent l="0" t="0" r="2540" b="0"/>
            <wp:docPr id="34" name="Chart 34" descr="Chart showing % of children aged 5-11 vaccinated by disability status across upper North Island DHBs&#10;">
              <a:extLst xmlns:a="http://schemas.openxmlformats.org/drawingml/2006/main">
                <a:ext uri="{FF2B5EF4-FFF2-40B4-BE49-F238E27FC236}">
                  <a16:creationId xmlns:a16="http://schemas.microsoft.com/office/drawing/2014/main" id="{8AD11943-C218-4637-84FA-80247A9B96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F62ABB" w14:textId="77777777" w:rsidR="00852EE8" w:rsidRPr="00852EE8" w:rsidRDefault="00852EE8" w:rsidP="00852EE8">
      <w:pPr>
        <w:spacing w:after="160" w:line="259" w:lineRule="auto"/>
        <w:rPr>
          <w:rFonts w:ascii="Calibri" w:eastAsia="Calibri" w:hAnsi="Calibri"/>
          <w:sz w:val="22"/>
          <w:szCs w:val="22"/>
          <w:lang w:eastAsia="en-US"/>
        </w:rPr>
      </w:pPr>
      <w:r w:rsidRPr="00852EE8">
        <w:rPr>
          <w:rFonts w:ascii="Calibri" w:eastAsia="Calibri" w:hAnsi="Calibri"/>
          <w:noProof/>
          <w:sz w:val="22"/>
          <w:szCs w:val="22"/>
          <w:lang w:eastAsia="en-NZ"/>
        </w:rPr>
        <w:drawing>
          <wp:inline distT="0" distB="0" distL="0" distR="0" wp14:anchorId="27CD8E6E" wp14:editId="13DDC79D">
            <wp:extent cx="5731510" cy="3240000"/>
            <wp:effectExtent l="0" t="0" r="2540" b="0"/>
            <wp:docPr id="53" name="Chart 53" descr="Chart showing % of children aged 5-11 vaccinated by disability status across lower North Island DHBs&#10;">
              <a:extLst xmlns:a="http://schemas.openxmlformats.org/drawingml/2006/main">
                <a:ext uri="{FF2B5EF4-FFF2-40B4-BE49-F238E27FC236}">
                  <a16:creationId xmlns:a16="http://schemas.microsoft.com/office/drawing/2014/main" id="{77B78E66-F117-43C3-9839-F7C4E57110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D207EC" w14:textId="77777777" w:rsidR="00303A47" w:rsidRPr="001C13FB" w:rsidRDefault="00852EE8" w:rsidP="001C13FB">
      <w:pPr>
        <w:spacing w:after="160" w:line="259" w:lineRule="auto"/>
        <w:rPr>
          <w:rFonts w:ascii="Calibri" w:eastAsia="Calibri" w:hAnsi="Calibri"/>
          <w:sz w:val="22"/>
          <w:szCs w:val="22"/>
          <w:lang w:eastAsia="en-US"/>
        </w:rPr>
      </w:pPr>
      <w:r w:rsidRPr="00852EE8">
        <w:rPr>
          <w:rFonts w:ascii="Calibri" w:eastAsia="Calibri" w:hAnsi="Calibri"/>
          <w:noProof/>
          <w:sz w:val="22"/>
          <w:szCs w:val="22"/>
          <w:lang w:eastAsia="en-NZ"/>
        </w:rPr>
        <w:lastRenderedPageBreak/>
        <w:drawing>
          <wp:inline distT="0" distB="0" distL="0" distR="0" wp14:anchorId="3E3F879C" wp14:editId="264240A4">
            <wp:extent cx="5731510" cy="3240000"/>
            <wp:effectExtent l="0" t="0" r="2540" b="0"/>
            <wp:docPr id="55" name="Chart 55" descr="Chart showing % of children aged 5-11 vaccinated by disability status across South Island DHBs&#10;">
              <a:extLst xmlns:a="http://schemas.openxmlformats.org/drawingml/2006/main">
                <a:ext uri="{FF2B5EF4-FFF2-40B4-BE49-F238E27FC236}">
                  <a16:creationId xmlns:a16="http://schemas.microsoft.com/office/drawing/2014/main" id="{2CACF824-694D-400D-AABF-E8DBDE8EF3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86C738" w14:textId="77777777" w:rsidR="00852EE8" w:rsidRPr="00052D65" w:rsidRDefault="00852EE8" w:rsidP="001B311B">
      <w:pPr>
        <w:pStyle w:val="Heading4"/>
        <w:numPr>
          <w:ilvl w:val="0"/>
          <w:numId w:val="37"/>
        </w:numPr>
        <w:spacing w:before="0"/>
      </w:pPr>
      <w:r w:rsidRPr="00052D65">
        <w:t>NZ Deprivation Index</w:t>
      </w:r>
      <w:r w:rsidR="00754955" w:rsidRPr="00052D65">
        <w:t xml:space="preserve"> - </w:t>
      </w:r>
      <w:r w:rsidR="000924D7" w:rsidRPr="00052D65">
        <w:t>5–11-year-olds</w:t>
      </w:r>
    </w:p>
    <w:p w14:paraId="2E958B0F" w14:textId="77777777" w:rsidR="00852EE8" w:rsidRPr="00852EE8" w:rsidRDefault="00F220E8" w:rsidP="001B311B">
      <w:pPr>
        <w:pStyle w:val="SWABodyTextAfterBullet"/>
        <w:spacing w:before="0"/>
        <w:rPr>
          <w:rFonts w:ascii="Calibri" w:eastAsia="Calibri" w:hAnsi="Calibri"/>
          <w:sz w:val="22"/>
          <w:lang w:eastAsia="en-US"/>
        </w:rPr>
      </w:pPr>
      <w:r w:rsidRPr="00852EE8">
        <w:rPr>
          <w:rFonts w:ascii="Calibri" w:eastAsia="Calibri" w:hAnsi="Calibri"/>
          <w:noProof/>
          <w:sz w:val="22"/>
        </w:rPr>
        <mc:AlternateContent>
          <mc:Choice Requires="wps">
            <w:drawing>
              <wp:anchor distT="0" distB="0" distL="114300" distR="114300" simplePos="0" relativeHeight="251659264" behindDoc="0" locked="0" layoutInCell="1" allowOverlap="1" wp14:anchorId="56B6ACAB" wp14:editId="390AF4D6">
                <wp:simplePos x="0" y="0"/>
                <wp:positionH relativeFrom="column">
                  <wp:posOffset>802322</wp:posOffset>
                </wp:positionH>
                <wp:positionV relativeFrom="paragraph">
                  <wp:posOffset>2519045</wp:posOffset>
                </wp:positionV>
                <wp:extent cx="4705350" cy="838200"/>
                <wp:effectExtent l="0" t="0" r="76200" b="95250"/>
                <wp:wrapNone/>
                <wp:docPr id="5" name="Straight Connector 5"/>
                <wp:cNvGraphicFramePr/>
                <a:graphic xmlns:a="http://schemas.openxmlformats.org/drawingml/2006/main">
                  <a:graphicData uri="http://schemas.microsoft.com/office/word/2010/wordprocessingShape">
                    <wps:wsp>
                      <wps:cNvCnPr/>
                      <wps:spPr>
                        <a:xfrm>
                          <a:off x="0" y="0"/>
                          <a:ext cx="4705350" cy="838200"/>
                        </a:xfrm>
                        <a:prstGeom prst="line">
                          <a:avLst/>
                        </a:prstGeom>
                        <a:noFill/>
                        <a:ln w="9525" cap="flat" cmpd="sng" algn="ctr">
                          <a:solidFill>
                            <a:srgbClr val="FF0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4EBFC4F"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15pt,198.35pt" to="433.6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" strokecolor="red">
                <v:stroke endarrow="open"/>
              </v:line>
            </w:pict>
          </mc:Fallback>
        </mc:AlternateContent>
      </w:r>
      <w:r w:rsidR="00852EE8" w:rsidRPr="00C33093">
        <w:rPr>
          <w:rFonts w:ascii="Verdana" w:hAnsi="Verdana"/>
        </w:rPr>
        <w:t>Disabled children tend to have slightly higher vaccination rates, regardless of the NZ Deprivation Index of the area they live in</w:t>
      </w:r>
      <w:r w:rsidR="00416DEB">
        <w:rPr>
          <w:rFonts w:ascii="Verdana" w:hAnsi="Verdana"/>
        </w:rPr>
        <w:t xml:space="preserve"> (between 1-5 percentage points higher)</w:t>
      </w:r>
      <w:r w:rsidR="00852EE8" w:rsidRPr="00C33093">
        <w:rPr>
          <w:rFonts w:ascii="Verdana" w:hAnsi="Verdana"/>
        </w:rPr>
        <w:t>. However, it should be noted: there is a clear relationship between NZ Deprivation Index and vaccination rates in 5–11-year-olds. As the NZ Deprivation score increases, vaccination rates decrease, e.g., 4 in 10 disabled children living in areas with higher socioeconomic deprivation (</w:t>
      </w:r>
      <w:proofErr w:type="spellStart"/>
      <w:r w:rsidR="00852EE8" w:rsidRPr="00C33093">
        <w:rPr>
          <w:rFonts w:ascii="Verdana" w:hAnsi="Verdana"/>
        </w:rPr>
        <w:t>NZDep</w:t>
      </w:r>
      <w:proofErr w:type="spellEnd"/>
      <w:r w:rsidR="00852EE8" w:rsidRPr="00C33093">
        <w:rPr>
          <w:rFonts w:ascii="Verdana" w:hAnsi="Verdana"/>
        </w:rPr>
        <w:t xml:space="preserve"> = 10) vaccinated compared to 7 in 10 disabled children living in the most affluent areas (</w:t>
      </w:r>
      <w:proofErr w:type="spellStart"/>
      <w:r w:rsidR="00852EE8" w:rsidRPr="00C33093">
        <w:rPr>
          <w:rFonts w:ascii="Verdana" w:hAnsi="Verdana"/>
        </w:rPr>
        <w:t>NZDep</w:t>
      </w:r>
      <w:proofErr w:type="spellEnd"/>
      <w:r w:rsidR="00852EE8" w:rsidRPr="00C33093">
        <w:rPr>
          <w:rFonts w:ascii="Verdana" w:hAnsi="Verdana"/>
        </w:rPr>
        <w:t xml:space="preserve"> = 1).</w:t>
      </w:r>
      <w:r w:rsidR="00852EE8" w:rsidRPr="00852EE8">
        <w:rPr>
          <w:rFonts w:ascii="Calibri" w:eastAsia="Calibri" w:hAnsi="Calibri"/>
          <w:noProof/>
          <w:sz w:val="22"/>
        </w:rPr>
        <w:drawing>
          <wp:inline distT="0" distB="0" distL="0" distR="0" wp14:anchorId="745F91FA" wp14:editId="117014AA">
            <wp:extent cx="5731510" cy="3420000"/>
            <wp:effectExtent l="0" t="0" r="2540" b="0"/>
            <wp:docPr id="56" name="Chart 56" descr="Chart showing % of children aged 5-11 vaccinated by disability status and NZ Deprivation Index&#10;">
              <a:extLst xmlns:a="http://schemas.openxmlformats.org/drawingml/2006/main">
                <a:ext uri="{FF2B5EF4-FFF2-40B4-BE49-F238E27FC236}">
                  <a16:creationId xmlns:a16="http://schemas.microsoft.com/office/drawing/2014/main" id="{083D9A25-A715-411A-B156-0DE958C7FF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A047E83" w14:textId="77777777" w:rsidR="00852EE8" w:rsidRDefault="00602AA3" w:rsidP="00852EE8">
      <w:pPr>
        <w:pStyle w:val="Heading2"/>
      </w:pPr>
      <w:sdt>
        <w:sdtPr>
          <w:id w:val="1464473680"/>
          <w:placeholder>
            <w:docPart w:val="712A3290AC56434FAC3021A1FB6F3A82"/>
          </w:placeholder>
        </w:sdtPr>
        <w:sdtEndPr/>
        <w:sdtContent>
          <w:r w:rsidR="00852EE8">
            <w:rPr>
              <w:bCs/>
            </w:rPr>
            <w:t>Supplementary v</w:t>
          </w:r>
          <w:r w:rsidR="00852EE8">
            <w:rPr>
              <w:rFonts w:eastAsia="Times New Roman"/>
              <w:bCs/>
            </w:rPr>
            <w:t>accination uptake analysis of the disabled population as of 1 March 2022</w:t>
          </w:r>
        </w:sdtContent>
      </w:sdt>
    </w:p>
    <w:p w14:paraId="59764D0B" w14:textId="77777777" w:rsidR="00852EE8" w:rsidRPr="00852EE8" w:rsidRDefault="000924D7" w:rsidP="001B311B">
      <w:pPr>
        <w:pStyle w:val="Heading4"/>
        <w:numPr>
          <w:ilvl w:val="0"/>
          <w:numId w:val="43"/>
        </w:numPr>
        <w:spacing w:before="0"/>
      </w:pPr>
      <w:r>
        <w:t xml:space="preserve">Number of </w:t>
      </w:r>
      <w:r w:rsidR="00852EE8" w:rsidRPr="00852EE8">
        <w:t>GP contacts</w:t>
      </w:r>
      <w:r w:rsidR="006E1F0B">
        <w:t xml:space="preserve"> </w:t>
      </w:r>
      <w:r>
        <w:t xml:space="preserve">– </w:t>
      </w:r>
      <w:r w:rsidR="00606057">
        <w:t>aged 12 and older</w:t>
      </w:r>
    </w:p>
    <w:p w14:paraId="2A767697" w14:textId="77777777" w:rsidR="00944080" w:rsidRDefault="00852EE8" w:rsidP="00052D65">
      <w:pPr>
        <w:pStyle w:val="SWABodyTextAfterBullet"/>
        <w:spacing w:before="0"/>
        <w:rPr>
          <w:rFonts w:ascii="Verdana" w:hAnsi="Verdana"/>
        </w:rPr>
      </w:pPr>
      <w:r w:rsidRPr="00C33093">
        <w:rPr>
          <w:rFonts w:ascii="Verdana" w:hAnsi="Verdana"/>
        </w:rPr>
        <w:t>Consistent with earlier analysis, we observe that individuals who regularly interact with their health providers</w:t>
      </w:r>
      <w:r w:rsidR="00A97895">
        <w:rPr>
          <w:rFonts w:ascii="Verdana" w:hAnsi="Verdana"/>
        </w:rPr>
        <w:t xml:space="preserve"> </w:t>
      </w:r>
      <w:r w:rsidRPr="00C33093">
        <w:rPr>
          <w:rFonts w:ascii="Verdana" w:hAnsi="Verdana"/>
        </w:rPr>
        <w:t>are more likely to be vaccinated</w:t>
      </w:r>
      <w:r w:rsidR="00BF21BC">
        <w:rPr>
          <w:rFonts w:ascii="Verdana" w:hAnsi="Verdana"/>
        </w:rPr>
        <w:t xml:space="preserve">. For example, </w:t>
      </w:r>
      <w:r w:rsidR="00A97895">
        <w:rPr>
          <w:rFonts w:ascii="Verdana" w:hAnsi="Verdana"/>
        </w:rPr>
        <w:t>9</w:t>
      </w:r>
      <w:r w:rsidR="00BF21BC">
        <w:rPr>
          <w:rFonts w:ascii="Verdana" w:hAnsi="Verdana"/>
        </w:rPr>
        <w:t>4</w:t>
      </w:r>
      <w:r w:rsidR="00A97895">
        <w:rPr>
          <w:rFonts w:ascii="Verdana" w:hAnsi="Verdana"/>
        </w:rPr>
        <w:t xml:space="preserve">% </w:t>
      </w:r>
      <w:r w:rsidR="00BF21BC">
        <w:rPr>
          <w:rFonts w:ascii="Verdana" w:hAnsi="Verdana"/>
        </w:rPr>
        <w:t xml:space="preserve">of disabled people with 1 or more GP contacts a year were vaccinated compared to </w:t>
      </w:r>
      <w:r w:rsidR="00A97895">
        <w:rPr>
          <w:rFonts w:ascii="Verdana" w:hAnsi="Verdana"/>
        </w:rPr>
        <w:t xml:space="preserve">82% </w:t>
      </w:r>
      <w:r w:rsidR="00BF21BC">
        <w:rPr>
          <w:rFonts w:ascii="Verdana" w:hAnsi="Verdana"/>
        </w:rPr>
        <w:t>disabled people with no GP contacts in a year.</w:t>
      </w:r>
      <w:r w:rsidR="00052D65" w:rsidRPr="00C33093">
        <w:rPr>
          <w:rFonts w:ascii="Verdana" w:hAnsi="Verdana"/>
        </w:rPr>
        <w:t xml:space="preserve"> </w:t>
      </w:r>
    </w:p>
    <w:p w14:paraId="1DB03F4C" w14:textId="77777777" w:rsidR="00852EE8" w:rsidRPr="00C33093" w:rsidRDefault="00BF21BC" w:rsidP="00052D65">
      <w:pPr>
        <w:pStyle w:val="SWABodyTextAfterBullet"/>
        <w:spacing w:before="0"/>
        <w:rPr>
          <w:rFonts w:ascii="Verdana" w:hAnsi="Verdana"/>
        </w:rPr>
      </w:pPr>
      <w:r>
        <w:rPr>
          <w:rFonts w:ascii="Verdana" w:hAnsi="Verdana"/>
        </w:rPr>
        <w:t>The difference is greater in terms 3 or more doses with 70% of disabled people who visit a GP at least once a year</w:t>
      </w:r>
      <w:r w:rsidR="000924D7" w:rsidRPr="00C33093">
        <w:rPr>
          <w:rFonts w:ascii="Verdana" w:hAnsi="Verdana"/>
        </w:rPr>
        <w:t xml:space="preserve"> </w:t>
      </w:r>
      <w:r>
        <w:rPr>
          <w:rFonts w:ascii="Verdana" w:hAnsi="Verdana"/>
        </w:rPr>
        <w:t xml:space="preserve">having received 3 or more doses compared to 42% of people who do not visit a GP in a year. </w:t>
      </w:r>
      <w:r w:rsidR="000924D7" w:rsidRPr="00C33093">
        <w:rPr>
          <w:rFonts w:ascii="Verdana" w:hAnsi="Verdana"/>
        </w:rPr>
        <w:t xml:space="preserve">Across levels of interaction with health providers, disabled people are more likely to be vaccinated than non-disabled people. </w:t>
      </w:r>
    </w:p>
    <w:p w14:paraId="0D79022E" w14:textId="77777777" w:rsidR="00944080" w:rsidRDefault="0036510F" w:rsidP="00852EE8">
      <w:pPr>
        <w:spacing w:after="160" w:line="259" w:lineRule="auto"/>
        <w:rPr>
          <w:rFonts w:ascii="Calibri" w:eastAsia="Calibri" w:hAnsi="Calibri"/>
          <w:sz w:val="22"/>
          <w:szCs w:val="22"/>
          <w:lang w:eastAsia="en-US"/>
        </w:rPr>
      </w:pPr>
      <w:r>
        <w:rPr>
          <w:noProof/>
          <w:lang w:eastAsia="en-NZ"/>
        </w:rPr>
        <w:drawing>
          <wp:inline distT="0" distB="0" distL="0" distR="0" wp14:anchorId="13D58684" wp14:editId="019637BF">
            <wp:extent cx="6120130" cy="3600000"/>
            <wp:effectExtent l="0" t="0" r="0" b="635"/>
            <wp:docPr id="37" name="Chart 37" descr="Chart showing vaccination status by disability status and number of GP contacts between Feb 2020 and Feb 2021 - 12 years and older&#10;">
              <a:extLst xmlns:a="http://schemas.openxmlformats.org/drawingml/2006/main">
                <a:ext uri="{FF2B5EF4-FFF2-40B4-BE49-F238E27FC236}">
                  <a16:creationId xmlns:a16="http://schemas.microsoft.com/office/drawing/2014/main" id="{09B7C8C3-0D8A-4BC6-ADEB-E1D3B80A3C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944080">
        <w:rPr>
          <w:rFonts w:ascii="Calibri" w:eastAsia="Calibri" w:hAnsi="Calibri"/>
          <w:sz w:val="22"/>
          <w:szCs w:val="22"/>
          <w:lang w:eastAsia="en-US"/>
        </w:rPr>
        <w:br w:type="page"/>
      </w:r>
    </w:p>
    <w:p w14:paraId="765561B2" w14:textId="77777777" w:rsidR="009338F3" w:rsidRDefault="009338F3" w:rsidP="001B311B">
      <w:pPr>
        <w:pStyle w:val="Heading4"/>
        <w:numPr>
          <w:ilvl w:val="0"/>
          <w:numId w:val="43"/>
        </w:numPr>
        <w:spacing w:before="0"/>
      </w:pPr>
      <w:r w:rsidRPr="00852EE8">
        <w:lastRenderedPageBreak/>
        <w:t>PHO enrolment</w:t>
      </w:r>
      <w:r>
        <w:t xml:space="preserve"> – aged 25 and older </w:t>
      </w:r>
    </w:p>
    <w:p w14:paraId="4491D257" w14:textId="77777777" w:rsidR="009338F3" w:rsidRPr="00C33093" w:rsidRDefault="009338F3" w:rsidP="00052D65">
      <w:pPr>
        <w:pStyle w:val="SWABodyTextAfterBullet"/>
        <w:spacing w:before="0"/>
        <w:rPr>
          <w:rFonts w:ascii="Verdana" w:hAnsi="Verdana"/>
        </w:rPr>
      </w:pPr>
      <w:r w:rsidRPr="00C33093">
        <w:rPr>
          <w:rFonts w:ascii="Verdana" w:hAnsi="Verdana"/>
        </w:rPr>
        <w:t>Again, across PHO enrolment status and age, disabled people have higher vaccination rates than non-disabled people</w:t>
      </w:r>
      <w:r w:rsidR="00F62842">
        <w:rPr>
          <w:rFonts w:ascii="Verdana" w:hAnsi="Verdana"/>
        </w:rPr>
        <w:t xml:space="preserve"> (between 3 and 29 percentage points higher)</w:t>
      </w:r>
      <w:r w:rsidRPr="00C33093">
        <w:rPr>
          <w:rFonts w:ascii="Verdana" w:hAnsi="Verdana"/>
        </w:rPr>
        <w:t>. Disabled people who are not enrolled with a PHO are less likely to be vaccinated than disabled people who are enrolled with a PHO</w:t>
      </w:r>
      <w:r w:rsidR="00BF21BC">
        <w:rPr>
          <w:rFonts w:ascii="Verdana" w:hAnsi="Verdana"/>
        </w:rPr>
        <w:t xml:space="preserve"> (</w:t>
      </w:r>
      <w:r w:rsidR="00931778">
        <w:rPr>
          <w:rFonts w:ascii="Verdana" w:hAnsi="Verdana"/>
        </w:rPr>
        <w:t xml:space="preserve">70% vs </w:t>
      </w:r>
      <w:r w:rsidR="00BF21BC">
        <w:rPr>
          <w:rFonts w:ascii="Verdana" w:hAnsi="Verdana"/>
        </w:rPr>
        <w:t xml:space="preserve">93% among 25-64-year-olds, and </w:t>
      </w:r>
      <w:r w:rsidR="00931778">
        <w:rPr>
          <w:rFonts w:ascii="Verdana" w:hAnsi="Verdana"/>
        </w:rPr>
        <w:t xml:space="preserve">56% vs </w:t>
      </w:r>
      <w:r w:rsidR="00BF21BC">
        <w:rPr>
          <w:rFonts w:ascii="Verdana" w:hAnsi="Verdana"/>
        </w:rPr>
        <w:t xml:space="preserve">96% </w:t>
      </w:r>
      <w:r w:rsidR="00931778">
        <w:rPr>
          <w:rFonts w:ascii="Verdana" w:hAnsi="Verdana"/>
        </w:rPr>
        <w:t>among 65-year-olds and older)</w:t>
      </w:r>
      <w:r w:rsidRPr="00C33093">
        <w:rPr>
          <w:rFonts w:ascii="Verdana" w:hAnsi="Verdana"/>
        </w:rPr>
        <w:t xml:space="preserve">. </w:t>
      </w:r>
    </w:p>
    <w:p w14:paraId="293F2401" w14:textId="77777777" w:rsidR="003B3DD9" w:rsidRPr="004D27D4" w:rsidRDefault="003B3DD9" w:rsidP="001A0A40">
      <w:r>
        <w:rPr>
          <w:noProof/>
          <w:lang w:eastAsia="en-NZ"/>
        </w:rPr>
        <w:drawing>
          <wp:inline distT="0" distB="0" distL="0" distR="0" wp14:anchorId="7AE539EE" wp14:editId="46EC4B5C">
            <wp:extent cx="6120130" cy="2569845"/>
            <wp:effectExtent l="0" t="0" r="0" b="1905"/>
            <wp:docPr id="17" name="Chart 17" descr="Chart showing vaccination status by disability status and PHO enrolment - 25 years and older&#10;">
              <a:extLst xmlns:a="http://schemas.openxmlformats.org/drawingml/2006/main">
                <a:ext uri="{FF2B5EF4-FFF2-40B4-BE49-F238E27FC236}">
                  <a16:creationId xmlns:a16="http://schemas.microsoft.com/office/drawing/2014/main" id="{7F66302D-487D-471B-B127-401C90CA4F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551061" w14:textId="77777777" w:rsidR="009338F3" w:rsidRPr="00852EE8" w:rsidRDefault="009338F3" w:rsidP="009338F3">
      <w:pPr>
        <w:spacing w:after="160" w:line="259" w:lineRule="auto"/>
        <w:rPr>
          <w:rFonts w:ascii="Calibri" w:eastAsia="Calibri" w:hAnsi="Calibri"/>
          <w:sz w:val="22"/>
          <w:szCs w:val="22"/>
          <w:lang w:eastAsia="en-US"/>
        </w:rPr>
      </w:pPr>
    </w:p>
    <w:p w14:paraId="38624729" w14:textId="77777777" w:rsidR="004F1050" w:rsidRPr="00052D65" w:rsidRDefault="006E1F0B" w:rsidP="001B311B">
      <w:pPr>
        <w:pStyle w:val="Heading4"/>
        <w:numPr>
          <w:ilvl w:val="0"/>
          <w:numId w:val="43"/>
        </w:numPr>
        <w:spacing w:before="0"/>
      </w:pPr>
      <w:r>
        <w:t>Intellectual</w:t>
      </w:r>
      <w:r w:rsidR="004F1050" w:rsidRPr="00052D65">
        <w:t xml:space="preserve"> impairment – aged 12 and older</w:t>
      </w:r>
    </w:p>
    <w:p w14:paraId="2D50B55B" w14:textId="77777777" w:rsidR="00944080" w:rsidRDefault="004F1050" w:rsidP="001B311B">
      <w:pPr>
        <w:pStyle w:val="SWABodyTextAfterBullet"/>
        <w:spacing w:before="0"/>
        <w:rPr>
          <w:rFonts w:ascii="Calibri" w:eastAsia="Calibri" w:hAnsi="Calibri"/>
          <w:sz w:val="22"/>
          <w:lang w:eastAsia="en-US"/>
        </w:rPr>
      </w:pPr>
      <w:r w:rsidRPr="00C33093">
        <w:rPr>
          <w:rFonts w:ascii="Verdana" w:hAnsi="Verdana"/>
        </w:rPr>
        <w:t xml:space="preserve">Uptake of the vaccination (1 or more doses) among disabled individuals with identified intellectual impairments is broadly the same as disabled individuals without an intellectual </w:t>
      </w:r>
      <w:r w:rsidR="006E1F0B" w:rsidRPr="00C33093">
        <w:rPr>
          <w:rFonts w:ascii="Verdana" w:hAnsi="Verdana"/>
        </w:rPr>
        <w:t>impairment</w:t>
      </w:r>
      <w:r w:rsidR="00F62842">
        <w:rPr>
          <w:rFonts w:ascii="Verdana" w:hAnsi="Verdana"/>
        </w:rPr>
        <w:t xml:space="preserve"> (92% vs 93%)</w:t>
      </w:r>
      <w:r w:rsidRPr="00C33093">
        <w:rPr>
          <w:rFonts w:ascii="Verdana" w:hAnsi="Verdana"/>
        </w:rPr>
        <w:t>. However,</w:t>
      </w:r>
      <w:r w:rsidR="004D27D4" w:rsidRPr="00C33093">
        <w:rPr>
          <w:rFonts w:ascii="Verdana" w:hAnsi="Verdana"/>
        </w:rPr>
        <w:t xml:space="preserve"> </w:t>
      </w:r>
      <w:r w:rsidR="00F62842">
        <w:rPr>
          <w:rFonts w:ascii="Verdana" w:hAnsi="Verdana"/>
        </w:rPr>
        <w:t>non-</w:t>
      </w:r>
      <w:r w:rsidR="004D27D4" w:rsidRPr="00C33093">
        <w:rPr>
          <w:rFonts w:ascii="Verdana" w:hAnsi="Verdana"/>
        </w:rPr>
        <w:t>disabled</w:t>
      </w:r>
      <w:r w:rsidRPr="00C33093">
        <w:rPr>
          <w:rFonts w:ascii="Verdana" w:hAnsi="Verdana"/>
        </w:rPr>
        <w:t xml:space="preserve"> individuals with an intellectual impairment have significantly lower rates of uptake compared to non-disabled individuals without an intellectual </w:t>
      </w:r>
      <w:r w:rsidR="006E1F0B" w:rsidRPr="00C33093">
        <w:rPr>
          <w:rFonts w:ascii="Verdana" w:hAnsi="Verdana"/>
        </w:rPr>
        <w:t>impairment</w:t>
      </w:r>
      <w:r w:rsidR="00F62842">
        <w:rPr>
          <w:rFonts w:ascii="Verdana" w:hAnsi="Verdana"/>
        </w:rPr>
        <w:t xml:space="preserve"> (79% vs 88%)</w:t>
      </w:r>
      <w:r w:rsidRPr="00C33093">
        <w:rPr>
          <w:rFonts w:ascii="Verdana" w:hAnsi="Verdana"/>
        </w:rPr>
        <w:t xml:space="preserve">. </w:t>
      </w:r>
      <w:r>
        <w:rPr>
          <w:noProof/>
        </w:rPr>
        <w:drawing>
          <wp:inline distT="0" distB="0" distL="0" distR="0" wp14:anchorId="7213DD03" wp14:editId="7F12BF10">
            <wp:extent cx="6120130" cy="3060000"/>
            <wp:effectExtent l="0" t="0" r="0" b="7620"/>
            <wp:docPr id="36" name="Chart 36" descr="Chart showing vaccination status by disability status and diagnosed intellectual impairment - 12 years and older&#10;">
              <a:extLst xmlns:a="http://schemas.openxmlformats.org/drawingml/2006/main">
                <a:ext uri="{FF2B5EF4-FFF2-40B4-BE49-F238E27FC236}">
                  <a16:creationId xmlns:a16="http://schemas.microsoft.com/office/drawing/2014/main" id="{45A6AFB6-653E-42D2-881F-69B5DBD012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944080">
        <w:rPr>
          <w:rFonts w:ascii="Calibri" w:eastAsia="Calibri" w:hAnsi="Calibri"/>
          <w:sz w:val="22"/>
          <w:lang w:eastAsia="en-US"/>
        </w:rPr>
        <w:br w:type="page"/>
      </w:r>
    </w:p>
    <w:p w14:paraId="0C4A2626" w14:textId="77777777" w:rsidR="004F1050" w:rsidRDefault="004F1050" w:rsidP="004F1050">
      <w:pPr>
        <w:spacing w:after="160" w:line="259" w:lineRule="auto"/>
        <w:rPr>
          <w:rFonts w:ascii="Calibri" w:eastAsia="Calibri" w:hAnsi="Calibri"/>
          <w:sz w:val="22"/>
          <w:szCs w:val="22"/>
          <w:lang w:eastAsia="en-US"/>
        </w:rPr>
      </w:pPr>
    </w:p>
    <w:p w14:paraId="13A63B3A" w14:textId="77777777" w:rsidR="004F1050" w:rsidRPr="00052D65" w:rsidRDefault="004F1050" w:rsidP="001B311B">
      <w:pPr>
        <w:pStyle w:val="Heading4"/>
        <w:numPr>
          <w:ilvl w:val="0"/>
          <w:numId w:val="43"/>
        </w:numPr>
        <w:spacing w:before="0"/>
      </w:pPr>
      <w:r w:rsidRPr="00052D65">
        <w:t>Autism Spectrum Disorder – aged 12 and older</w:t>
      </w:r>
    </w:p>
    <w:p w14:paraId="6B3AD51E" w14:textId="77777777" w:rsidR="004F1050" w:rsidRPr="00C33093" w:rsidRDefault="004D27D4" w:rsidP="00052D65">
      <w:pPr>
        <w:pStyle w:val="SWABodyTextAfterBullet"/>
        <w:spacing w:before="0"/>
        <w:rPr>
          <w:rFonts w:ascii="Verdana" w:hAnsi="Verdana"/>
        </w:rPr>
      </w:pPr>
      <w:r w:rsidRPr="00C33093">
        <w:rPr>
          <w:rFonts w:ascii="Verdana" w:hAnsi="Verdana"/>
        </w:rPr>
        <w:t xml:space="preserve">People with Autism Spectrum Disorder (ASD) have lower vaccination uptake than people without (identified) </w:t>
      </w:r>
      <w:r w:rsidR="001D5A28">
        <w:rPr>
          <w:rFonts w:ascii="Verdana" w:hAnsi="Verdana"/>
        </w:rPr>
        <w:t>ASD</w:t>
      </w:r>
      <w:r w:rsidR="00F62842">
        <w:rPr>
          <w:rFonts w:ascii="Verdana" w:hAnsi="Verdana"/>
        </w:rPr>
        <w:t xml:space="preserve"> (90% vs 93% for disabled people and 87% vs 88% for non-disabled people)</w:t>
      </w:r>
      <w:r w:rsidRPr="00C33093">
        <w:rPr>
          <w:rFonts w:ascii="Verdana" w:hAnsi="Verdana"/>
        </w:rPr>
        <w:t>. Disabled people with ASD are more likely to be vaccinated than non-disabled people with ASD</w:t>
      </w:r>
      <w:r w:rsidR="00F62842">
        <w:rPr>
          <w:rFonts w:ascii="Verdana" w:hAnsi="Verdana"/>
        </w:rPr>
        <w:t xml:space="preserve"> (90% vs 87%)</w:t>
      </w:r>
      <w:r w:rsidRPr="00C33093">
        <w:rPr>
          <w:rFonts w:ascii="Verdana" w:hAnsi="Verdana"/>
        </w:rPr>
        <w:t>.</w:t>
      </w:r>
    </w:p>
    <w:p w14:paraId="4B0ED0D1" w14:textId="77777777" w:rsidR="004F1050" w:rsidRDefault="004F1050" w:rsidP="004F1050">
      <w:pPr>
        <w:spacing w:after="160" w:line="259" w:lineRule="auto"/>
        <w:rPr>
          <w:rFonts w:ascii="Calibri" w:eastAsia="Calibri" w:hAnsi="Calibri"/>
          <w:sz w:val="22"/>
          <w:szCs w:val="22"/>
          <w:lang w:eastAsia="en-US"/>
        </w:rPr>
      </w:pPr>
      <w:r>
        <w:rPr>
          <w:noProof/>
          <w:lang w:eastAsia="en-NZ"/>
        </w:rPr>
        <w:drawing>
          <wp:inline distT="0" distB="0" distL="0" distR="0" wp14:anchorId="0D38B623" wp14:editId="53B010CA">
            <wp:extent cx="6120130" cy="3060000"/>
            <wp:effectExtent l="0" t="0" r="0" b="7620"/>
            <wp:docPr id="15" name="Chart 15" descr="Chart showing vaccination status by disability status and identified Autism Spectrum Disorder - 12 years and older&#10;">
              <a:extLst xmlns:a="http://schemas.openxmlformats.org/drawingml/2006/main">
                <a:ext uri="{FF2B5EF4-FFF2-40B4-BE49-F238E27FC236}">
                  <a16:creationId xmlns:a16="http://schemas.microsoft.com/office/drawing/2014/main" id="{9449020C-D80D-482C-96AC-EF7D4005C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6DB194" w14:textId="77777777" w:rsidR="00852EE8" w:rsidRPr="00052D65" w:rsidRDefault="00852EE8" w:rsidP="001B311B">
      <w:pPr>
        <w:pStyle w:val="Heading4"/>
        <w:numPr>
          <w:ilvl w:val="0"/>
          <w:numId w:val="43"/>
        </w:numPr>
        <w:spacing w:before="0"/>
      </w:pPr>
      <w:r w:rsidRPr="00052D65">
        <w:t>Residential care</w:t>
      </w:r>
      <w:r w:rsidR="003C57AB" w:rsidRPr="00052D65">
        <w:t xml:space="preserve"> status for disabled people </w:t>
      </w:r>
      <w:r w:rsidR="00606057" w:rsidRPr="00052D65">
        <w:t xml:space="preserve">– </w:t>
      </w:r>
      <w:r w:rsidR="003C57AB" w:rsidRPr="00052D65">
        <w:t>aged 25 and over</w:t>
      </w:r>
    </w:p>
    <w:p w14:paraId="15423177" w14:textId="77777777" w:rsidR="00C56543" w:rsidRPr="00C33093" w:rsidRDefault="00C56543" w:rsidP="00052D65">
      <w:pPr>
        <w:pStyle w:val="SWABodyTextAfterBullet"/>
        <w:spacing w:before="0"/>
        <w:rPr>
          <w:rFonts w:ascii="Verdana" w:hAnsi="Verdana"/>
        </w:rPr>
      </w:pPr>
      <w:r w:rsidRPr="00C33093">
        <w:rPr>
          <w:rFonts w:ascii="Verdana" w:hAnsi="Verdana"/>
        </w:rPr>
        <w:t xml:space="preserve">Disabled people living in residential care facilities have higher vaccination uptake than disabled people </w:t>
      </w:r>
      <w:r w:rsidR="004D27D4" w:rsidRPr="00C33093">
        <w:rPr>
          <w:rFonts w:ascii="Verdana" w:hAnsi="Verdana"/>
        </w:rPr>
        <w:t xml:space="preserve">not living in </w:t>
      </w:r>
      <w:r w:rsidRPr="00C33093">
        <w:rPr>
          <w:rFonts w:ascii="Verdana" w:hAnsi="Verdana"/>
        </w:rPr>
        <w:t>residential care facilities</w:t>
      </w:r>
      <w:r w:rsidR="009C6AF4">
        <w:rPr>
          <w:rFonts w:ascii="Verdana" w:hAnsi="Verdana"/>
        </w:rPr>
        <w:t xml:space="preserve"> (97% vs 93%)</w:t>
      </w:r>
      <w:r w:rsidRPr="00C33093">
        <w:rPr>
          <w:rFonts w:ascii="Verdana" w:hAnsi="Verdana"/>
        </w:rPr>
        <w:t>. 84% of disabled people liv</w:t>
      </w:r>
      <w:r w:rsidR="004D27D4" w:rsidRPr="00C33093">
        <w:rPr>
          <w:rFonts w:ascii="Verdana" w:hAnsi="Verdana"/>
        </w:rPr>
        <w:t>ing</w:t>
      </w:r>
      <w:r w:rsidRPr="00C33093">
        <w:rPr>
          <w:rFonts w:ascii="Verdana" w:hAnsi="Verdana"/>
        </w:rPr>
        <w:t xml:space="preserve"> in residential care facilities have received 3 or more doses of the vaccine, compared to 71% of disabled people </w:t>
      </w:r>
      <w:r w:rsidR="004D27D4" w:rsidRPr="00C33093">
        <w:rPr>
          <w:rFonts w:ascii="Verdana" w:hAnsi="Verdana"/>
        </w:rPr>
        <w:t>not living in</w:t>
      </w:r>
      <w:r w:rsidRPr="00C33093">
        <w:rPr>
          <w:rFonts w:ascii="Verdana" w:hAnsi="Verdana"/>
        </w:rPr>
        <w:t xml:space="preserve"> residential care facilities.</w:t>
      </w:r>
    </w:p>
    <w:p w14:paraId="27706CA3" w14:textId="77777777" w:rsidR="00852EE8" w:rsidRPr="00852EE8" w:rsidRDefault="0036510F" w:rsidP="00852EE8">
      <w:pPr>
        <w:spacing w:after="160" w:line="259" w:lineRule="auto"/>
        <w:rPr>
          <w:rFonts w:ascii="Calibri" w:eastAsia="Times New Roman" w:hAnsi="Calibri"/>
          <w:sz w:val="22"/>
          <w:szCs w:val="22"/>
          <w:lang w:eastAsia="en-US"/>
        </w:rPr>
      </w:pPr>
      <w:r>
        <w:rPr>
          <w:noProof/>
          <w:lang w:eastAsia="en-NZ"/>
        </w:rPr>
        <w:drawing>
          <wp:inline distT="0" distB="0" distL="0" distR="0" wp14:anchorId="2480F871" wp14:editId="02C7BF7A">
            <wp:extent cx="6120000" cy="2700000"/>
            <wp:effectExtent l="0" t="0" r="0" b="5715"/>
            <wp:docPr id="39" name="Chart 39" descr="Chart showing vaccination status by disability status and residential care services&#10;">
              <a:extLst xmlns:a="http://schemas.openxmlformats.org/drawingml/2006/main">
                <a:ext uri="{FF2B5EF4-FFF2-40B4-BE49-F238E27FC236}">
                  <a16:creationId xmlns:a16="http://schemas.microsoft.com/office/drawing/2014/main" id="{4DBD4747-31BE-48C5-BF60-2DDFD2CB92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F046ADB" w14:textId="77777777" w:rsidR="00B376E4" w:rsidRDefault="00B376E4" w:rsidP="00852EE8">
      <w:pPr>
        <w:spacing w:after="160" w:line="259" w:lineRule="auto"/>
        <w:rPr>
          <w:rFonts w:ascii="Calibri" w:eastAsia="Calibri" w:hAnsi="Calibri"/>
          <w:sz w:val="22"/>
          <w:szCs w:val="22"/>
          <w:lang w:eastAsia="en-US"/>
        </w:rPr>
      </w:pPr>
    </w:p>
    <w:p w14:paraId="07840B89" w14:textId="77777777" w:rsidR="00B376E4" w:rsidRPr="00052D65" w:rsidRDefault="00B376E4" w:rsidP="001B311B">
      <w:pPr>
        <w:pStyle w:val="Heading4"/>
        <w:numPr>
          <w:ilvl w:val="0"/>
          <w:numId w:val="43"/>
        </w:numPr>
        <w:spacing w:before="0"/>
      </w:pPr>
      <w:r w:rsidRPr="00052D65">
        <w:lastRenderedPageBreak/>
        <w:t>MOH funded disability clients</w:t>
      </w:r>
    </w:p>
    <w:p w14:paraId="6FBB2E2E" w14:textId="77777777" w:rsidR="00B376E4" w:rsidRPr="00C33093" w:rsidRDefault="00B376E4" w:rsidP="00052D65">
      <w:pPr>
        <w:pStyle w:val="SWABodyTextAfterBullet"/>
        <w:spacing w:before="0"/>
        <w:rPr>
          <w:rFonts w:ascii="Verdana" w:hAnsi="Verdana"/>
        </w:rPr>
      </w:pPr>
      <w:r w:rsidRPr="00C33093">
        <w:rPr>
          <w:rFonts w:ascii="Verdana" w:hAnsi="Verdana"/>
        </w:rPr>
        <w:t xml:space="preserve">Disabled people </w:t>
      </w:r>
      <w:r w:rsidR="004D27D4" w:rsidRPr="00C33093">
        <w:rPr>
          <w:rFonts w:ascii="Verdana" w:hAnsi="Verdana"/>
        </w:rPr>
        <w:t>receiving disability funding from the</w:t>
      </w:r>
      <w:r w:rsidRPr="00C33093">
        <w:rPr>
          <w:rFonts w:ascii="Verdana" w:hAnsi="Verdana"/>
        </w:rPr>
        <w:t xml:space="preserve"> Ministry of Health have lower uptake of the vaccination, both in terms of vaccination generally (1 or more doses</w:t>
      </w:r>
      <w:r w:rsidR="009C6AF4">
        <w:rPr>
          <w:rFonts w:ascii="Verdana" w:hAnsi="Verdana"/>
        </w:rPr>
        <w:t>; 92% vs 93%</w:t>
      </w:r>
      <w:r w:rsidRPr="00C33093">
        <w:rPr>
          <w:rFonts w:ascii="Verdana" w:hAnsi="Verdana"/>
        </w:rPr>
        <w:t>) and boosters (3 or more doses</w:t>
      </w:r>
      <w:r w:rsidR="009C6AF4">
        <w:rPr>
          <w:rFonts w:ascii="Verdana" w:hAnsi="Verdana"/>
        </w:rPr>
        <w:t>; 55% vs 66%,</w:t>
      </w:r>
      <w:r w:rsidRPr="00C33093">
        <w:rPr>
          <w:rFonts w:ascii="Verdana" w:hAnsi="Verdana"/>
        </w:rPr>
        <w:t>) compared to disabled people who are not MOH funded disability clients</w:t>
      </w:r>
      <w:r w:rsidR="009C6AF4">
        <w:rPr>
          <w:rFonts w:ascii="Verdana" w:hAnsi="Verdana"/>
        </w:rPr>
        <w:t>.</w:t>
      </w:r>
    </w:p>
    <w:p w14:paraId="7AE78960" w14:textId="77777777" w:rsidR="00C846AA" w:rsidRDefault="008A138E" w:rsidP="00C846AA">
      <w:pPr>
        <w:spacing w:after="160" w:line="259" w:lineRule="auto"/>
        <w:rPr>
          <w:rFonts w:ascii="Arial" w:hAnsi="Arial"/>
          <w:b/>
          <w:color w:val="2A2A3E"/>
          <w:szCs w:val="22"/>
          <w:lang w:eastAsia="en-NZ"/>
        </w:rPr>
      </w:pPr>
      <w:r>
        <w:rPr>
          <w:noProof/>
          <w:lang w:eastAsia="en-NZ"/>
        </w:rPr>
        <w:drawing>
          <wp:inline distT="0" distB="0" distL="0" distR="0" wp14:anchorId="4409562E" wp14:editId="353BF8A8">
            <wp:extent cx="6120130" cy="2880000"/>
            <wp:effectExtent l="0" t="0" r="0" b="0"/>
            <wp:docPr id="32" name="Chart 32" descr="Chart showing vaccination status by disability status and MOH funded disability client status- 12 years and older&#10;">
              <a:extLst xmlns:a="http://schemas.openxmlformats.org/drawingml/2006/main">
                <a:ext uri="{FF2B5EF4-FFF2-40B4-BE49-F238E27FC236}">
                  <a16:creationId xmlns:a16="http://schemas.microsoft.com/office/drawing/2014/main" id="{4FD8FC2D-4E9D-4036-92F1-7C9AD9D9E9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F8E3305" w14:textId="77777777" w:rsidR="00C13F7B" w:rsidRPr="00C846AA" w:rsidRDefault="006E1F0B" w:rsidP="00C846AA">
      <w:pPr>
        <w:pStyle w:val="ListParagraph"/>
        <w:numPr>
          <w:ilvl w:val="0"/>
          <w:numId w:val="43"/>
        </w:numPr>
        <w:spacing w:after="160" w:line="259" w:lineRule="auto"/>
        <w:rPr>
          <w:rFonts w:ascii="Arial" w:hAnsi="Arial"/>
          <w:b/>
          <w:color w:val="2A2A3E"/>
          <w:szCs w:val="22"/>
          <w:lang w:eastAsia="en-NZ"/>
        </w:rPr>
      </w:pPr>
      <w:r w:rsidRPr="00C846AA">
        <w:rPr>
          <w:rFonts w:ascii="Arial" w:hAnsi="Arial"/>
          <w:b/>
          <w:color w:val="2A2A3E"/>
          <w:szCs w:val="22"/>
          <w:lang w:eastAsia="en-NZ"/>
        </w:rPr>
        <w:t>S</w:t>
      </w:r>
      <w:r w:rsidR="009338F3" w:rsidRPr="00C846AA">
        <w:rPr>
          <w:rFonts w:ascii="Arial" w:hAnsi="Arial"/>
          <w:b/>
          <w:color w:val="2A2A3E"/>
          <w:szCs w:val="22"/>
          <w:lang w:eastAsia="en-NZ"/>
        </w:rPr>
        <w:t>ex – aged 12 and older</w:t>
      </w:r>
    </w:p>
    <w:p w14:paraId="2D480622" w14:textId="77777777" w:rsidR="009338F3" w:rsidRPr="001B311B" w:rsidRDefault="009338F3" w:rsidP="001B311B">
      <w:pPr>
        <w:spacing w:after="160" w:line="259" w:lineRule="auto"/>
        <w:rPr>
          <w:rFonts w:ascii="Verdana" w:hAnsi="Verdana"/>
        </w:rPr>
      </w:pPr>
      <w:r w:rsidRPr="009616A2">
        <w:rPr>
          <w:rFonts w:ascii="Verdana" w:hAnsi="Verdana"/>
        </w:rPr>
        <w:t>Irrespective of sex, disabled people (aged 12 and older) have higher vaccination uptake than non-disabled people</w:t>
      </w:r>
      <w:r w:rsidR="009C6AF4" w:rsidRPr="001B311B">
        <w:rPr>
          <w:rFonts w:ascii="Verdana" w:hAnsi="Verdana"/>
        </w:rPr>
        <w:t xml:space="preserve"> (92% vs 88% for females, and 93% vs 88% for males)</w:t>
      </w:r>
      <w:r w:rsidRPr="001B311B">
        <w:rPr>
          <w:rFonts w:ascii="Verdana" w:hAnsi="Verdana"/>
        </w:rPr>
        <w:t>. By 2 percentage points, disabled females are more likely to have received 3 or more doses of the vaccine than disabled males</w:t>
      </w:r>
      <w:r w:rsidR="009C6AF4" w:rsidRPr="001B311B">
        <w:rPr>
          <w:rFonts w:ascii="Verdana" w:hAnsi="Verdana"/>
        </w:rPr>
        <w:t xml:space="preserve"> (6</w:t>
      </w:r>
      <w:r w:rsidR="006F3A83" w:rsidRPr="001B311B">
        <w:rPr>
          <w:rFonts w:ascii="Verdana" w:hAnsi="Verdana"/>
        </w:rPr>
        <w:t>7</w:t>
      </w:r>
      <w:r w:rsidR="009C6AF4" w:rsidRPr="001B311B">
        <w:rPr>
          <w:rFonts w:ascii="Verdana" w:hAnsi="Verdana"/>
        </w:rPr>
        <w:t>% vs 65%)</w:t>
      </w:r>
      <w:r w:rsidRPr="001B311B">
        <w:rPr>
          <w:rFonts w:ascii="Verdana" w:hAnsi="Verdana"/>
        </w:rPr>
        <w:t>.</w:t>
      </w:r>
    </w:p>
    <w:p w14:paraId="3F200C7C" w14:textId="77777777" w:rsidR="006E1F0B" w:rsidRDefault="003B3DD9">
      <w:pPr>
        <w:spacing w:after="160" w:line="259" w:lineRule="auto"/>
        <w:rPr>
          <w:rFonts w:ascii="Calibri" w:eastAsia="Calibri" w:hAnsi="Calibri"/>
          <w:sz w:val="22"/>
          <w:szCs w:val="22"/>
          <w:lang w:eastAsia="en-US"/>
        </w:rPr>
      </w:pPr>
      <w:r>
        <w:rPr>
          <w:noProof/>
          <w:lang w:eastAsia="en-NZ"/>
        </w:rPr>
        <w:drawing>
          <wp:inline distT="0" distB="0" distL="0" distR="0" wp14:anchorId="58BF1C9F" wp14:editId="36B9E690">
            <wp:extent cx="6120000" cy="2880000"/>
            <wp:effectExtent l="0" t="0" r="0" b="0"/>
            <wp:docPr id="18" name="Chart 18" descr="Chart showing vaccination status by disability status and sex - 12 years and older&#10;">
              <a:extLst xmlns:a="http://schemas.openxmlformats.org/drawingml/2006/main">
                <a:ext uri="{FF2B5EF4-FFF2-40B4-BE49-F238E27FC236}">
                  <a16:creationId xmlns:a16="http://schemas.microsoft.com/office/drawing/2014/main" id="{F736B7AB-03E3-4129-B415-8BEEC0EA43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8BCB7C" w14:textId="77777777" w:rsidR="00C846AA" w:rsidRDefault="00C846AA" w:rsidP="001B311B">
      <w:pPr>
        <w:pStyle w:val="ListParagraph"/>
        <w:numPr>
          <w:ilvl w:val="0"/>
          <w:numId w:val="45"/>
        </w:numPr>
        <w:spacing w:after="160" w:line="259" w:lineRule="auto"/>
        <w:rPr>
          <w:rFonts w:ascii="Arial" w:hAnsi="Arial"/>
          <w:b/>
          <w:color w:val="2A2A3E"/>
          <w:szCs w:val="22"/>
          <w:lang w:eastAsia="en-NZ"/>
        </w:rPr>
      </w:pPr>
      <w:r>
        <w:rPr>
          <w:rFonts w:ascii="Arial" w:hAnsi="Arial"/>
          <w:b/>
          <w:color w:val="2A2A3E"/>
          <w:szCs w:val="22"/>
          <w:lang w:eastAsia="en-NZ"/>
        </w:rPr>
        <w:br w:type="page"/>
      </w:r>
    </w:p>
    <w:p w14:paraId="4D0A371A" w14:textId="77777777" w:rsidR="004F1050" w:rsidRPr="00052D65" w:rsidRDefault="006E1F0B" w:rsidP="00C846AA">
      <w:pPr>
        <w:pStyle w:val="ListParagraph"/>
        <w:numPr>
          <w:ilvl w:val="0"/>
          <w:numId w:val="49"/>
        </w:numPr>
        <w:spacing w:after="160" w:line="259" w:lineRule="auto"/>
      </w:pPr>
      <w:r w:rsidRPr="001B311B">
        <w:rPr>
          <w:rFonts w:ascii="Arial" w:hAnsi="Arial"/>
          <w:b/>
          <w:color w:val="2A2A3E"/>
          <w:szCs w:val="22"/>
          <w:lang w:eastAsia="en-NZ"/>
        </w:rPr>
        <w:lastRenderedPageBreak/>
        <w:t>M</w:t>
      </w:r>
      <w:r w:rsidR="004F1050" w:rsidRPr="001B311B">
        <w:rPr>
          <w:rFonts w:ascii="Arial" w:hAnsi="Arial"/>
          <w:b/>
          <w:color w:val="2A2A3E"/>
          <w:szCs w:val="22"/>
          <w:lang w:eastAsia="en-NZ"/>
        </w:rPr>
        <w:t>ain beneficiary status – aged 12 and older</w:t>
      </w:r>
    </w:p>
    <w:p w14:paraId="1BF0BF3B" w14:textId="77777777" w:rsidR="004F1050" w:rsidRPr="00852EE8" w:rsidRDefault="004F1050" w:rsidP="00052D65">
      <w:pPr>
        <w:spacing w:after="160" w:line="259" w:lineRule="auto"/>
        <w:rPr>
          <w:rFonts w:ascii="Calibri" w:eastAsia="Times New Roman" w:hAnsi="Calibri"/>
          <w:b/>
          <w:bCs/>
          <w:sz w:val="22"/>
          <w:szCs w:val="22"/>
          <w:lang w:eastAsia="en-US"/>
        </w:rPr>
      </w:pPr>
      <w:r w:rsidRPr="00C33093">
        <w:rPr>
          <w:rFonts w:ascii="Verdana" w:hAnsi="Verdana"/>
          <w:szCs w:val="22"/>
          <w:lang w:eastAsia="en-NZ"/>
        </w:rPr>
        <w:t>Vaccination uptake among main beneficiaries aged 12 and over (excluding superannuation recipients) is lower compar</w:t>
      </w:r>
      <w:r w:rsidR="006F6F15">
        <w:rPr>
          <w:rFonts w:ascii="Verdana" w:hAnsi="Verdana"/>
          <w:szCs w:val="22"/>
          <w:lang w:eastAsia="en-NZ"/>
        </w:rPr>
        <w:t>ed to people not receiving main</w:t>
      </w:r>
      <w:r w:rsidRPr="00C33093">
        <w:rPr>
          <w:rFonts w:ascii="Verdana" w:hAnsi="Verdana"/>
          <w:szCs w:val="22"/>
          <w:lang w:eastAsia="en-NZ"/>
        </w:rPr>
        <w:t xml:space="preserve"> benefits</w:t>
      </w:r>
      <w:r w:rsidR="009C6AF4">
        <w:rPr>
          <w:rFonts w:ascii="Verdana" w:hAnsi="Verdana"/>
          <w:szCs w:val="22"/>
          <w:lang w:eastAsia="en-NZ"/>
        </w:rPr>
        <w:t xml:space="preserve"> (87% vs 94% for disabled people, and 80% vs 89% for non-disabled people)</w:t>
      </w:r>
      <w:r w:rsidRPr="00C33093">
        <w:rPr>
          <w:rFonts w:ascii="Verdana" w:hAnsi="Verdana"/>
          <w:szCs w:val="22"/>
          <w:lang w:eastAsia="en-NZ"/>
        </w:rPr>
        <w:t>. Disabled people continue to have higher vaccination rates compared to non-disabled people irrespective of their beneficiary status.</w:t>
      </w:r>
      <w:r w:rsidRPr="00852EE8">
        <w:rPr>
          <w:rFonts w:ascii="Calibri" w:eastAsia="Calibri" w:hAnsi="Calibri"/>
          <w:sz w:val="22"/>
          <w:szCs w:val="22"/>
          <w:lang w:eastAsia="en-US"/>
        </w:rPr>
        <w:t xml:space="preserve"> </w:t>
      </w:r>
      <w:r>
        <w:rPr>
          <w:rFonts w:ascii="Calibri" w:eastAsia="Calibri" w:hAnsi="Calibri"/>
          <w:sz w:val="22"/>
          <w:szCs w:val="22"/>
          <w:lang w:eastAsia="en-US"/>
        </w:rPr>
        <w:br/>
      </w:r>
      <w:r>
        <w:rPr>
          <w:noProof/>
          <w:lang w:eastAsia="en-NZ"/>
        </w:rPr>
        <w:drawing>
          <wp:inline distT="0" distB="0" distL="0" distR="0" wp14:anchorId="14CF043F" wp14:editId="64E2A7DF">
            <wp:extent cx="6120130" cy="2671445"/>
            <wp:effectExtent l="0" t="0" r="0" b="0"/>
            <wp:docPr id="35" name="Chart 35" descr="Chart showing vaccination status by disability status and receipt of mains benefits - 12 years and older&#10;">
              <a:extLst xmlns:a="http://schemas.openxmlformats.org/drawingml/2006/main">
                <a:ext uri="{FF2B5EF4-FFF2-40B4-BE49-F238E27FC236}">
                  <a16:creationId xmlns:a16="http://schemas.microsoft.com/office/drawing/2014/main" id="{3BBE0793-BC8F-4D0F-8A56-B9C0F464E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E50BA7" w14:textId="77777777" w:rsidR="009338F3" w:rsidRDefault="009338F3" w:rsidP="00C846AA">
      <w:pPr>
        <w:pStyle w:val="Heading4"/>
        <w:numPr>
          <w:ilvl w:val="0"/>
          <w:numId w:val="49"/>
        </w:numPr>
      </w:pPr>
      <w:r>
        <w:t>Superannuation recipients</w:t>
      </w:r>
    </w:p>
    <w:p w14:paraId="56FD01F9" w14:textId="77777777" w:rsidR="009338F3" w:rsidRPr="00C33093" w:rsidRDefault="006F6F15" w:rsidP="009338F3">
      <w:pPr>
        <w:keepNext/>
        <w:keepLines/>
        <w:spacing w:before="40" w:after="0" w:line="259" w:lineRule="auto"/>
        <w:outlineLvl w:val="1"/>
        <w:rPr>
          <w:rFonts w:ascii="Verdana" w:eastAsia="Calibri" w:hAnsi="Verdana"/>
          <w:lang w:eastAsia="en-US"/>
        </w:rPr>
      </w:pPr>
      <w:proofErr w:type="spellStart"/>
      <w:r>
        <w:rPr>
          <w:rFonts w:ascii="Verdana" w:eastAsia="Calibri" w:hAnsi="Verdana"/>
          <w:lang w:eastAsia="en-US"/>
        </w:rPr>
        <w:t>Super</w:t>
      </w:r>
      <w:r w:rsidR="001B79E2" w:rsidRPr="00C33093">
        <w:rPr>
          <w:rFonts w:ascii="Verdana" w:eastAsia="Calibri" w:hAnsi="Verdana"/>
          <w:lang w:eastAsia="en-US"/>
        </w:rPr>
        <w:t>annuitants</w:t>
      </w:r>
      <w:proofErr w:type="spellEnd"/>
      <w:r w:rsidR="001B79E2" w:rsidRPr="00C33093">
        <w:rPr>
          <w:rFonts w:ascii="Verdana" w:eastAsia="Calibri" w:hAnsi="Verdana"/>
          <w:lang w:eastAsia="en-US"/>
        </w:rPr>
        <w:t xml:space="preserve"> are more likely to be vaccinated compared to their peers who are not receiving superannuation. This is the case for both disabled and non-disabled people</w:t>
      </w:r>
      <w:r w:rsidR="00AA5AF8" w:rsidRPr="00C33093">
        <w:rPr>
          <w:rFonts w:ascii="Verdana" w:eastAsia="Calibri" w:hAnsi="Verdana"/>
          <w:lang w:eastAsia="en-US"/>
        </w:rPr>
        <w:t xml:space="preserve"> aged 65 and older</w:t>
      </w:r>
      <w:r w:rsidR="009C6AF4">
        <w:rPr>
          <w:rFonts w:ascii="Verdana" w:eastAsia="Calibri" w:hAnsi="Verdana"/>
          <w:lang w:eastAsia="en-US"/>
        </w:rPr>
        <w:t xml:space="preserve"> (95% vs 93% for disabled people, and 88% vs 77% for non-disabled people)</w:t>
      </w:r>
      <w:r w:rsidR="001B79E2" w:rsidRPr="00C33093">
        <w:rPr>
          <w:rFonts w:ascii="Verdana" w:eastAsia="Calibri" w:hAnsi="Verdana"/>
          <w:lang w:eastAsia="en-US"/>
        </w:rPr>
        <w:t xml:space="preserve">. </w:t>
      </w:r>
    </w:p>
    <w:p w14:paraId="4341947C" w14:textId="77777777" w:rsidR="006E1F0B" w:rsidRDefault="009338F3" w:rsidP="004F1050">
      <w:pPr>
        <w:spacing w:after="160" w:line="259" w:lineRule="auto"/>
        <w:rPr>
          <w:rFonts w:ascii="Arial" w:hAnsi="Arial"/>
          <w:b/>
          <w:color w:val="2A2A3E"/>
          <w:szCs w:val="22"/>
          <w:lang w:eastAsia="en-NZ"/>
        </w:rPr>
      </w:pPr>
      <w:r>
        <w:rPr>
          <w:noProof/>
          <w:lang w:eastAsia="en-NZ"/>
        </w:rPr>
        <w:drawing>
          <wp:inline distT="0" distB="0" distL="0" distR="0" wp14:anchorId="664EFEAF" wp14:editId="7F8D7642">
            <wp:extent cx="6120130" cy="2700000"/>
            <wp:effectExtent l="0" t="0" r="0" b="5715"/>
            <wp:docPr id="27" name="Chart 27" descr="Chart showing vaccination status by disability status and receipt of Superannuation - 65 years and older&#10;">
              <a:extLst xmlns:a="http://schemas.openxmlformats.org/drawingml/2006/main">
                <a:ext uri="{FF2B5EF4-FFF2-40B4-BE49-F238E27FC236}">
                  <a16:creationId xmlns:a16="http://schemas.microsoft.com/office/drawing/2014/main" id="{3AB78B60-DD42-474B-A922-DDDF09D26F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5EA2985" w14:textId="77777777" w:rsidR="006C4584" w:rsidRPr="00052D65" w:rsidRDefault="006C4584" w:rsidP="00C846AA">
      <w:pPr>
        <w:pStyle w:val="Heading4"/>
        <w:numPr>
          <w:ilvl w:val="0"/>
          <w:numId w:val="49"/>
        </w:numPr>
      </w:pPr>
      <w:r>
        <w:lastRenderedPageBreak/>
        <w:t>S</w:t>
      </w:r>
      <w:r w:rsidRPr="00052D65">
        <w:t>ocial housing tenant status – aged 12 and older</w:t>
      </w:r>
    </w:p>
    <w:p w14:paraId="4347B04D" w14:textId="77777777" w:rsidR="006C4584" w:rsidRPr="00C33093" w:rsidRDefault="006C4584" w:rsidP="006C4584">
      <w:pPr>
        <w:keepNext/>
        <w:keepLines/>
        <w:spacing w:before="40" w:after="0" w:line="259" w:lineRule="auto"/>
        <w:outlineLvl w:val="1"/>
        <w:rPr>
          <w:rFonts w:ascii="Verdana" w:eastAsia="Calibri" w:hAnsi="Verdana"/>
          <w:lang w:eastAsia="en-US"/>
        </w:rPr>
      </w:pPr>
      <w:r w:rsidRPr="00C33093">
        <w:rPr>
          <w:rFonts w:ascii="Verdana" w:eastAsia="Calibri" w:hAnsi="Verdana"/>
          <w:lang w:eastAsia="en-US"/>
        </w:rPr>
        <w:t xml:space="preserve">Irrespective of being a social housing tenant, disabled people have higher vaccination uptake than their non-disabled peers. However, disabled social housing tenants have lower vaccination uptake – especially of 3 or more vaccines – than disabled people who are not social housing tenants. 47% of disabled social housing tenants have had 3 or more doses, compared to 67% of disabled people who are not social housing tenants. </w:t>
      </w:r>
    </w:p>
    <w:p w14:paraId="304363C6" w14:textId="77777777" w:rsidR="006C4584" w:rsidRPr="00C846AA" w:rsidRDefault="006C4584" w:rsidP="00C846AA">
      <w:pPr>
        <w:rPr>
          <w:rFonts w:ascii="Calibri Light" w:eastAsia="Times New Roman" w:hAnsi="Calibri Light"/>
          <w:b/>
          <w:bCs/>
          <w:color w:val="2F5496"/>
          <w:sz w:val="26"/>
          <w:szCs w:val="26"/>
          <w:highlight w:val="yellow"/>
          <w:lang w:eastAsia="en-US"/>
        </w:rPr>
      </w:pPr>
      <w:r>
        <w:rPr>
          <w:noProof/>
          <w:lang w:eastAsia="en-NZ"/>
        </w:rPr>
        <w:drawing>
          <wp:inline distT="0" distB="0" distL="0" distR="0" wp14:anchorId="70FEB763" wp14:editId="76CE4314">
            <wp:extent cx="6120130" cy="2700000"/>
            <wp:effectExtent l="0" t="0" r="0" b="5715"/>
            <wp:docPr id="2" name="Chart 2" descr="Chart showing vaccination status by disability status and social housing tenancy - 12 years and older&#10;">
              <a:extLst xmlns:a="http://schemas.openxmlformats.org/drawingml/2006/main">
                <a:ext uri="{FF2B5EF4-FFF2-40B4-BE49-F238E27FC236}">
                  <a16:creationId xmlns:a16="http://schemas.microsoft.com/office/drawing/2014/main" id="{A870DC32-9082-47AD-8C80-68CF052AF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45768B1" w14:textId="77777777" w:rsidR="00052D65" w:rsidRPr="00C846AA" w:rsidRDefault="004F1050" w:rsidP="00C846AA">
      <w:pPr>
        <w:pStyle w:val="ListParagraph"/>
        <w:numPr>
          <w:ilvl w:val="0"/>
          <w:numId w:val="49"/>
        </w:numPr>
        <w:spacing w:after="160" w:line="259" w:lineRule="auto"/>
        <w:rPr>
          <w:rFonts w:ascii="Arial" w:hAnsi="Arial"/>
          <w:b/>
          <w:color w:val="2A2A3E"/>
          <w:szCs w:val="22"/>
          <w:lang w:eastAsia="en-NZ"/>
        </w:rPr>
      </w:pPr>
      <w:r w:rsidRPr="00C846AA">
        <w:rPr>
          <w:rFonts w:ascii="Arial" w:hAnsi="Arial"/>
          <w:b/>
          <w:color w:val="2A2A3E"/>
          <w:szCs w:val="22"/>
          <w:lang w:eastAsia="en-NZ"/>
        </w:rPr>
        <w:t>Community Housing Providers’ (</w:t>
      </w:r>
      <w:proofErr w:type="spellStart"/>
      <w:r w:rsidRPr="00C846AA">
        <w:rPr>
          <w:rFonts w:ascii="Arial" w:hAnsi="Arial"/>
          <w:b/>
          <w:color w:val="2A2A3E"/>
          <w:szCs w:val="22"/>
          <w:lang w:eastAsia="en-NZ"/>
        </w:rPr>
        <w:t>CHiPs</w:t>
      </w:r>
      <w:proofErr w:type="spellEnd"/>
      <w:r w:rsidRPr="00C846AA">
        <w:rPr>
          <w:rFonts w:ascii="Arial" w:hAnsi="Arial"/>
          <w:b/>
          <w:color w:val="2A2A3E"/>
          <w:szCs w:val="22"/>
          <w:lang w:eastAsia="en-NZ"/>
        </w:rPr>
        <w:t>) tenant</w:t>
      </w:r>
      <w:r w:rsidR="003B3DD9" w:rsidRPr="00C846AA">
        <w:rPr>
          <w:rFonts w:ascii="Arial" w:hAnsi="Arial"/>
          <w:b/>
          <w:color w:val="2A2A3E"/>
          <w:szCs w:val="22"/>
          <w:lang w:eastAsia="en-NZ"/>
        </w:rPr>
        <w:t>s</w:t>
      </w:r>
      <w:r w:rsidRPr="00C846AA">
        <w:rPr>
          <w:rFonts w:ascii="Arial" w:hAnsi="Arial"/>
          <w:b/>
          <w:color w:val="2A2A3E"/>
          <w:szCs w:val="22"/>
          <w:lang w:eastAsia="en-NZ"/>
        </w:rPr>
        <w:t>– aged 12 and older</w:t>
      </w:r>
    </w:p>
    <w:p w14:paraId="485805E6" w14:textId="77777777" w:rsidR="00C846AA" w:rsidRDefault="004F1050" w:rsidP="00C846AA">
      <w:pPr>
        <w:spacing w:after="160" w:line="259" w:lineRule="auto"/>
        <w:rPr>
          <w:rFonts w:ascii="Verdana" w:eastAsia="Calibri" w:hAnsi="Verdana"/>
          <w:lang w:eastAsia="en-US"/>
        </w:rPr>
      </w:pPr>
      <w:r w:rsidRPr="00C33093">
        <w:rPr>
          <w:rFonts w:ascii="Verdana" w:eastAsia="Calibri" w:hAnsi="Verdana"/>
          <w:lang w:eastAsia="en-US"/>
        </w:rPr>
        <w:t>As with social housing tenants, we see a similar trend among Community Housing Providers’ tenants where individuals in these homes have lower uptake of the vaccination compared to non-</w:t>
      </w:r>
      <w:proofErr w:type="spellStart"/>
      <w:r w:rsidRPr="00C33093">
        <w:rPr>
          <w:rFonts w:ascii="Verdana" w:eastAsia="Calibri" w:hAnsi="Verdana"/>
          <w:lang w:eastAsia="en-US"/>
        </w:rPr>
        <w:t>CHiPs</w:t>
      </w:r>
      <w:proofErr w:type="spellEnd"/>
      <w:r w:rsidRPr="00C33093">
        <w:rPr>
          <w:rFonts w:ascii="Verdana" w:eastAsia="Calibri" w:hAnsi="Verdana"/>
          <w:lang w:eastAsia="en-US"/>
        </w:rPr>
        <w:t xml:space="preserve"> tenants. However, </w:t>
      </w:r>
      <w:r w:rsidR="00931778">
        <w:rPr>
          <w:rFonts w:ascii="Verdana" w:eastAsia="Calibri" w:hAnsi="Verdana"/>
          <w:lang w:eastAsia="en-US"/>
        </w:rPr>
        <w:t xml:space="preserve">the only significant difference among disabled people was in terms of booster uptake with 66% of disabled people in </w:t>
      </w:r>
      <w:proofErr w:type="spellStart"/>
      <w:proofErr w:type="gramStart"/>
      <w:r w:rsidR="00931778">
        <w:rPr>
          <w:rFonts w:ascii="Verdana" w:eastAsia="Calibri" w:hAnsi="Verdana"/>
          <w:lang w:eastAsia="en-US"/>
        </w:rPr>
        <w:t>CHiPs</w:t>
      </w:r>
      <w:proofErr w:type="spellEnd"/>
      <w:proofErr w:type="gramEnd"/>
      <w:r w:rsidR="00931778">
        <w:rPr>
          <w:rFonts w:ascii="Verdana" w:eastAsia="Calibri" w:hAnsi="Verdana"/>
          <w:lang w:eastAsia="en-US"/>
        </w:rPr>
        <w:t xml:space="preserve"> housing having received 3 doses or more compared to 70% of disabled people not in </w:t>
      </w:r>
      <w:proofErr w:type="spellStart"/>
      <w:r w:rsidR="00931778">
        <w:rPr>
          <w:rFonts w:ascii="Verdana" w:eastAsia="Calibri" w:hAnsi="Verdana"/>
          <w:lang w:eastAsia="en-US"/>
        </w:rPr>
        <w:t>ChiPs</w:t>
      </w:r>
      <w:proofErr w:type="spellEnd"/>
      <w:r w:rsidR="00931778">
        <w:rPr>
          <w:rFonts w:ascii="Verdana" w:eastAsia="Calibri" w:hAnsi="Verdana"/>
          <w:lang w:eastAsia="en-US"/>
        </w:rPr>
        <w:t xml:space="preserve"> housing.</w:t>
      </w:r>
      <w:r w:rsidRPr="00C33093">
        <w:rPr>
          <w:rFonts w:ascii="Verdana" w:eastAsia="Calibri" w:hAnsi="Verdana"/>
          <w:lang w:eastAsia="en-US"/>
        </w:rPr>
        <w:t xml:space="preserve"> </w:t>
      </w:r>
      <w:r w:rsidR="00C846AA">
        <w:rPr>
          <w:noProof/>
          <w:lang w:eastAsia="en-NZ"/>
        </w:rPr>
        <w:drawing>
          <wp:inline distT="0" distB="0" distL="0" distR="0" wp14:anchorId="61F048AE" wp14:editId="5A212323">
            <wp:extent cx="6120130" cy="3420000"/>
            <wp:effectExtent l="0" t="0" r="0" b="0"/>
            <wp:docPr id="31" name="Chart 31" descr="Chart showing vaccination status by disability status and community housing residency - 12 years and older&#10;">
              <a:extLst xmlns:a="http://schemas.openxmlformats.org/drawingml/2006/main">
                <a:ext uri="{FF2B5EF4-FFF2-40B4-BE49-F238E27FC236}">
                  <a16:creationId xmlns:a16="http://schemas.microsoft.com/office/drawing/2014/main" id="{8E9D56CA-2FA6-46AF-A31D-DBA60782C0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E719D9" w14:textId="77777777" w:rsidR="004F1050" w:rsidRPr="00C846AA" w:rsidRDefault="004F1050" w:rsidP="00C846AA">
      <w:pPr>
        <w:pStyle w:val="ListParagraph"/>
        <w:numPr>
          <w:ilvl w:val="0"/>
          <w:numId w:val="50"/>
        </w:numPr>
        <w:spacing w:after="160" w:line="259" w:lineRule="auto"/>
        <w:rPr>
          <w:rFonts w:ascii="Arial" w:hAnsi="Arial"/>
          <w:b/>
          <w:color w:val="2A2A3E"/>
          <w:szCs w:val="22"/>
          <w:lang w:eastAsia="en-NZ"/>
        </w:rPr>
      </w:pPr>
      <w:r w:rsidRPr="00C846AA">
        <w:rPr>
          <w:rFonts w:ascii="Arial" w:hAnsi="Arial"/>
          <w:b/>
          <w:color w:val="2A2A3E"/>
          <w:szCs w:val="22"/>
          <w:lang w:eastAsia="en-NZ"/>
        </w:rPr>
        <w:lastRenderedPageBreak/>
        <w:t>NZ Deprivation Index</w:t>
      </w:r>
      <w:r w:rsidR="006E1F0B" w:rsidRPr="00C846AA">
        <w:rPr>
          <w:rFonts w:ascii="Arial" w:hAnsi="Arial"/>
          <w:b/>
          <w:color w:val="2A2A3E"/>
          <w:szCs w:val="22"/>
          <w:lang w:eastAsia="en-NZ"/>
        </w:rPr>
        <w:t xml:space="preserve"> </w:t>
      </w:r>
      <w:r w:rsidRPr="00C846AA">
        <w:rPr>
          <w:rFonts w:ascii="Arial" w:hAnsi="Arial"/>
          <w:b/>
          <w:color w:val="2A2A3E"/>
          <w:szCs w:val="22"/>
          <w:lang w:eastAsia="en-NZ"/>
        </w:rPr>
        <w:t>– aged 12 and older</w:t>
      </w:r>
    </w:p>
    <w:p w14:paraId="03D79D1C" w14:textId="77777777" w:rsidR="00225B68" w:rsidRDefault="004F1050" w:rsidP="004F1050">
      <w:pPr>
        <w:spacing w:after="160" w:line="259" w:lineRule="auto"/>
        <w:rPr>
          <w:rFonts w:ascii="Verdana" w:eastAsia="Calibri" w:hAnsi="Verdana"/>
          <w:lang w:eastAsia="en-US"/>
        </w:rPr>
      </w:pPr>
      <w:r w:rsidRPr="00C33093">
        <w:rPr>
          <w:rFonts w:ascii="Verdana" w:eastAsia="Calibri" w:hAnsi="Verdana"/>
          <w:lang w:eastAsia="en-US"/>
        </w:rPr>
        <w:t>As with children aged 5-11, there is a relationship between individuals’ neighbourhoods’ socioeconomic deprivation (as measured by the NZ Deprivation Index) and the individual’s likelihood to get vaccinated. Across all deciles of the NZ Deprivation Index, disabled people have higher vaccination rates compared to non-disabled people.</w:t>
      </w:r>
      <w:r w:rsidR="00225B68">
        <w:rPr>
          <w:rFonts w:ascii="Verdana" w:eastAsia="Calibri" w:hAnsi="Verdana"/>
          <w:lang w:eastAsia="en-US"/>
        </w:rPr>
        <w:t xml:space="preserve"> </w:t>
      </w:r>
    </w:p>
    <w:p w14:paraId="01B2F7A5" w14:textId="77777777" w:rsidR="004F1050" w:rsidRPr="00C33093" w:rsidRDefault="00225B68" w:rsidP="004F1050">
      <w:pPr>
        <w:spacing w:after="160" w:line="259" w:lineRule="auto"/>
        <w:rPr>
          <w:rFonts w:ascii="Verdana" w:eastAsia="Calibri" w:hAnsi="Verdana"/>
          <w:lang w:eastAsia="en-US"/>
        </w:rPr>
      </w:pPr>
      <w:r>
        <w:rPr>
          <w:rFonts w:ascii="Verdana" w:eastAsia="Calibri" w:hAnsi="Verdana"/>
          <w:lang w:eastAsia="en-US"/>
        </w:rPr>
        <w:t xml:space="preserve">For example, 90% of disabled people living in </w:t>
      </w:r>
      <w:proofErr w:type="spellStart"/>
      <w:r>
        <w:rPr>
          <w:rFonts w:ascii="Verdana" w:eastAsia="Calibri" w:hAnsi="Verdana"/>
          <w:lang w:eastAsia="en-US"/>
        </w:rPr>
        <w:t>NZDep</w:t>
      </w:r>
      <w:proofErr w:type="spellEnd"/>
      <w:r>
        <w:rPr>
          <w:rFonts w:ascii="Verdana" w:eastAsia="Calibri" w:hAnsi="Verdana"/>
          <w:lang w:eastAsia="en-US"/>
        </w:rPr>
        <w:t xml:space="preserve"> = 10 (high deprivation) areas were vaccinated compared to 83% of non-disabled people. On the other hand, 95% of disabled people living in </w:t>
      </w:r>
      <w:proofErr w:type="spellStart"/>
      <w:r>
        <w:rPr>
          <w:rFonts w:ascii="Verdana" w:eastAsia="Calibri" w:hAnsi="Verdana"/>
          <w:lang w:eastAsia="en-US"/>
        </w:rPr>
        <w:t>NZDep</w:t>
      </w:r>
      <w:proofErr w:type="spellEnd"/>
      <w:r>
        <w:rPr>
          <w:rFonts w:ascii="Verdana" w:eastAsia="Calibri" w:hAnsi="Verdana"/>
          <w:lang w:eastAsia="en-US"/>
        </w:rPr>
        <w:t xml:space="preserve"> = 1 (low deprivation) areas compared to 92% of non-disabled people.</w:t>
      </w:r>
      <w:r w:rsidR="004F1050" w:rsidRPr="00C33093">
        <w:rPr>
          <w:rFonts w:ascii="Verdana" w:eastAsia="Calibri" w:hAnsi="Verdana"/>
          <w:lang w:eastAsia="en-US"/>
        </w:rPr>
        <w:t xml:space="preserve"> The higher vaccination rates for disabled compared to non-disabled people </w:t>
      </w:r>
      <w:r w:rsidR="00AA5AF8" w:rsidRPr="00C33093">
        <w:rPr>
          <w:rFonts w:ascii="Verdana" w:eastAsia="Calibri" w:hAnsi="Verdana"/>
          <w:lang w:eastAsia="en-US"/>
        </w:rPr>
        <w:t xml:space="preserve">are </w:t>
      </w:r>
      <w:r w:rsidR="004F1050" w:rsidRPr="00C33093">
        <w:rPr>
          <w:rFonts w:ascii="Verdana" w:eastAsia="Calibri" w:hAnsi="Verdana"/>
          <w:lang w:eastAsia="en-US"/>
        </w:rPr>
        <w:t>most pronounced for people 65 years or older (</w:t>
      </w:r>
      <w:r>
        <w:rPr>
          <w:rFonts w:ascii="Verdana" w:eastAsia="Calibri" w:hAnsi="Verdana"/>
          <w:lang w:eastAsia="en-US"/>
        </w:rPr>
        <w:t xml:space="preserve">96% vs 90% for </w:t>
      </w:r>
      <w:proofErr w:type="spellStart"/>
      <w:r>
        <w:rPr>
          <w:rFonts w:ascii="Verdana" w:eastAsia="Calibri" w:hAnsi="Verdana"/>
          <w:lang w:eastAsia="en-US"/>
        </w:rPr>
        <w:t>NZDep</w:t>
      </w:r>
      <w:proofErr w:type="spellEnd"/>
      <w:r>
        <w:rPr>
          <w:rFonts w:ascii="Verdana" w:eastAsia="Calibri" w:hAnsi="Verdana"/>
          <w:lang w:eastAsia="en-US"/>
        </w:rPr>
        <w:t xml:space="preserve"> = 1, and 93% vs 81% for </w:t>
      </w:r>
      <w:proofErr w:type="spellStart"/>
      <w:r>
        <w:rPr>
          <w:rFonts w:ascii="Verdana" w:eastAsia="Calibri" w:hAnsi="Verdana"/>
          <w:lang w:eastAsia="en-US"/>
        </w:rPr>
        <w:t>NZDep</w:t>
      </w:r>
      <w:proofErr w:type="spellEnd"/>
      <w:r>
        <w:rPr>
          <w:rFonts w:ascii="Verdana" w:eastAsia="Calibri" w:hAnsi="Verdana"/>
          <w:lang w:eastAsia="en-US"/>
        </w:rPr>
        <w:t xml:space="preserve"> = 10 – </w:t>
      </w:r>
      <w:r w:rsidR="004F1050" w:rsidRPr="00C33093">
        <w:rPr>
          <w:rFonts w:ascii="Verdana" w:eastAsia="Calibri" w:hAnsi="Verdana"/>
          <w:lang w:eastAsia="en-US"/>
        </w:rPr>
        <w:t>not shown below).</w:t>
      </w:r>
    </w:p>
    <w:p w14:paraId="49D31875" w14:textId="77777777" w:rsidR="004F1050" w:rsidRPr="00852EE8" w:rsidRDefault="004F1050" w:rsidP="004F1050">
      <w:pPr>
        <w:spacing w:after="160" w:line="259" w:lineRule="auto"/>
        <w:rPr>
          <w:rFonts w:ascii="Calibri" w:eastAsia="Times New Roman" w:hAnsi="Calibri"/>
          <w:sz w:val="22"/>
          <w:szCs w:val="22"/>
          <w:lang w:eastAsia="en-US"/>
        </w:rPr>
      </w:pPr>
      <w:r w:rsidRPr="008A138E">
        <w:rPr>
          <w:noProof/>
        </w:rPr>
        <w:t xml:space="preserve"> </w:t>
      </w:r>
      <w:r>
        <w:rPr>
          <w:noProof/>
          <w:lang w:eastAsia="en-NZ"/>
        </w:rPr>
        <w:drawing>
          <wp:inline distT="0" distB="0" distL="0" distR="0" wp14:anchorId="444DCD15" wp14:editId="77C17086">
            <wp:extent cx="6120130" cy="3060000"/>
            <wp:effectExtent l="0" t="0" r="0" b="7620"/>
            <wp:docPr id="20" name="Chart 20" descr="Chart showing vaccination status by disability status and NZ Deprivation Index deciles - 12 years and older&#10;">
              <a:extLst xmlns:a="http://schemas.openxmlformats.org/drawingml/2006/main">
                <a:ext uri="{FF2B5EF4-FFF2-40B4-BE49-F238E27FC236}">
                  <a16:creationId xmlns:a16="http://schemas.microsoft.com/office/drawing/2014/main" id="{043BF7EA-2D41-4634-A517-D85472724E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25E1E18" w14:textId="77777777" w:rsidR="00032085" w:rsidRDefault="004F1050" w:rsidP="004F1050">
      <w:pPr>
        <w:rPr>
          <w:noProof/>
        </w:rPr>
      </w:pPr>
      <w:r w:rsidRPr="00852EE8">
        <w:rPr>
          <w:rFonts w:ascii="Calibri" w:eastAsia="Times New Roman" w:hAnsi="Calibri"/>
          <w:sz w:val="22"/>
          <w:szCs w:val="22"/>
          <w:lang w:eastAsia="en-US"/>
        </w:rPr>
        <w:br w:type="page"/>
      </w:r>
    </w:p>
    <w:p w14:paraId="2FB5442E" w14:textId="77777777" w:rsidR="00852EE8" w:rsidRDefault="00602AA3" w:rsidP="00852EE8">
      <w:pPr>
        <w:pStyle w:val="Heading2"/>
      </w:pPr>
      <w:sdt>
        <w:sdtPr>
          <w:id w:val="-191237961"/>
          <w:placeholder>
            <w:docPart w:val="E1630E66164D488C9220514DAAEE930D"/>
          </w:placeholder>
        </w:sdtPr>
        <w:sdtEndPr/>
        <w:sdtContent>
          <w:r w:rsidR="006E3411">
            <w:t>Technical information and limitations of the analysis</w:t>
          </w:r>
        </w:sdtContent>
      </w:sdt>
    </w:p>
    <w:p w14:paraId="58055ACC" w14:textId="77777777" w:rsidR="00852EE8" w:rsidRPr="00852EE8" w:rsidRDefault="00852EE8" w:rsidP="001C13FB">
      <w:pPr>
        <w:pStyle w:val="Heading4"/>
      </w:pPr>
      <w:r w:rsidRPr="00852EE8">
        <w:t>Disability Indicators</w:t>
      </w:r>
    </w:p>
    <w:p w14:paraId="607925E4" w14:textId="77777777" w:rsidR="00486640" w:rsidRPr="00C33093" w:rsidRDefault="00852EE8" w:rsidP="001C13FB">
      <w:pPr>
        <w:pStyle w:val="SWABodyTextAfterBullet"/>
        <w:spacing w:before="0" w:after="0"/>
        <w:rPr>
          <w:rFonts w:ascii="Verdana" w:hAnsi="Verdana"/>
        </w:rPr>
      </w:pPr>
      <w:r w:rsidRPr="00C33093">
        <w:rPr>
          <w:rFonts w:ascii="Verdana" w:hAnsi="Verdana"/>
        </w:rPr>
        <w:t xml:space="preserve">The disability indicator the SWA has developed relies primarily on IDI data sources that align with the Washington Group Short Set (WGSS). This is an indicator about people who are at a greater risk of restrictions to social participation. It has four levels of difficulty and six domains. It is built out of data sources that ask questions about functional difficulty and does not rely on any diagnostic information. </w:t>
      </w:r>
      <w:r w:rsidR="006E3411" w:rsidRPr="00C33093">
        <w:rPr>
          <w:rFonts w:ascii="Verdana" w:hAnsi="Verdana"/>
        </w:rPr>
        <w:t>The first indicator was developed for adults.</w:t>
      </w:r>
    </w:p>
    <w:p w14:paraId="22AF773E" w14:textId="77777777" w:rsidR="00852EE8" w:rsidRPr="00C33093" w:rsidRDefault="00852EE8" w:rsidP="001A0A40">
      <w:pPr>
        <w:pStyle w:val="SWABodyTextAfterBullet"/>
        <w:spacing w:after="0"/>
        <w:rPr>
          <w:rFonts w:ascii="Verdana" w:hAnsi="Verdana"/>
        </w:rPr>
      </w:pPr>
      <w:r w:rsidRPr="00C33093">
        <w:rPr>
          <w:rFonts w:ascii="Verdana" w:hAnsi="Verdana"/>
          <w:b/>
          <w:bCs/>
        </w:rPr>
        <w:t xml:space="preserve">The WGSS questions are: </w:t>
      </w:r>
    </w:p>
    <w:p w14:paraId="407E5014" w14:textId="77777777" w:rsidR="00852EE8" w:rsidRPr="00C33093" w:rsidRDefault="00852EE8">
      <w:pPr>
        <w:pStyle w:val="SWABodyTextAfterBullet"/>
        <w:spacing w:before="0" w:after="0"/>
        <w:rPr>
          <w:rFonts w:ascii="Verdana" w:hAnsi="Verdana"/>
        </w:rPr>
      </w:pPr>
      <w:r w:rsidRPr="00C33093">
        <w:rPr>
          <w:rFonts w:ascii="Verdana" w:hAnsi="Verdana"/>
        </w:rPr>
        <w:t xml:space="preserve">Q1. Do you have difficulty seeing, even if wearing glasses? </w:t>
      </w:r>
    </w:p>
    <w:p w14:paraId="48D2DED7" w14:textId="77777777" w:rsidR="00852EE8" w:rsidRPr="00C33093" w:rsidRDefault="00852EE8">
      <w:pPr>
        <w:pStyle w:val="SWABodyTextAfterBullet"/>
        <w:spacing w:before="0" w:after="0"/>
        <w:rPr>
          <w:rFonts w:ascii="Verdana" w:hAnsi="Verdana"/>
        </w:rPr>
      </w:pPr>
      <w:r w:rsidRPr="00C33093">
        <w:rPr>
          <w:rFonts w:ascii="Verdana" w:hAnsi="Verdana"/>
        </w:rPr>
        <w:t xml:space="preserve">Q2. Do you have difficulty hearing, even if using a hearing aid? </w:t>
      </w:r>
    </w:p>
    <w:p w14:paraId="5CBBB432" w14:textId="77777777" w:rsidR="00852EE8" w:rsidRPr="00C33093" w:rsidRDefault="00852EE8">
      <w:pPr>
        <w:pStyle w:val="SWABodyTextAfterBullet"/>
        <w:spacing w:before="0" w:after="0"/>
        <w:rPr>
          <w:rFonts w:ascii="Verdana" w:hAnsi="Verdana"/>
        </w:rPr>
      </w:pPr>
      <w:r w:rsidRPr="00C33093">
        <w:rPr>
          <w:rFonts w:ascii="Verdana" w:hAnsi="Verdana"/>
        </w:rPr>
        <w:t xml:space="preserve">Q3. Do you have difficulty walking or climbing steps? </w:t>
      </w:r>
    </w:p>
    <w:p w14:paraId="27FCD70E" w14:textId="77777777" w:rsidR="00852EE8" w:rsidRPr="00C33093" w:rsidRDefault="00852EE8">
      <w:pPr>
        <w:pStyle w:val="SWABodyTextAfterBullet"/>
        <w:spacing w:before="0" w:after="0"/>
        <w:rPr>
          <w:rFonts w:ascii="Verdana" w:hAnsi="Verdana"/>
        </w:rPr>
      </w:pPr>
      <w:r w:rsidRPr="00C33093">
        <w:rPr>
          <w:rFonts w:ascii="Verdana" w:hAnsi="Verdana"/>
        </w:rPr>
        <w:t xml:space="preserve">Q4. Do you have difficulty remembering or concentrating? </w:t>
      </w:r>
    </w:p>
    <w:p w14:paraId="29D2F55A" w14:textId="77777777" w:rsidR="005F5D32" w:rsidRPr="00C33093" w:rsidRDefault="00852EE8" w:rsidP="005F5D32">
      <w:pPr>
        <w:pStyle w:val="SWABodyTextAfterBullet"/>
        <w:spacing w:before="0" w:after="0"/>
        <w:rPr>
          <w:rFonts w:ascii="Verdana" w:hAnsi="Verdana"/>
        </w:rPr>
      </w:pPr>
      <w:r w:rsidRPr="00C33093">
        <w:rPr>
          <w:rFonts w:ascii="Verdana" w:hAnsi="Verdana"/>
        </w:rPr>
        <w:t>Q5. Do you have difficulty with self-care such as washing all over or dressing?</w:t>
      </w:r>
      <w:r w:rsidR="005F5D32" w:rsidRPr="00C33093">
        <w:rPr>
          <w:rFonts w:ascii="Verdana" w:hAnsi="Verdana"/>
        </w:rPr>
        <w:br/>
      </w:r>
      <w:r w:rsidRPr="00C33093">
        <w:rPr>
          <w:rFonts w:ascii="Verdana" w:hAnsi="Verdana"/>
        </w:rPr>
        <w:t xml:space="preserve">Q6. Using your usual (customary) language, do you have difficulty communicating for example understanding or being understood by others? </w:t>
      </w:r>
    </w:p>
    <w:p w14:paraId="1D1B3931" w14:textId="77777777" w:rsidR="00486640" w:rsidRPr="00C33093" w:rsidRDefault="00852EE8">
      <w:pPr>
        <w:pStyle w:val="SWABodyTextAfterBullet"/>
        <w:rPr>
          <w:rFonts w:ascii="Verdana" w:hAnsi="Verdana"/>
        </w:rPr>
      </w:pPr>
      <w:r w:rsidRPr="00C33093">
        <w:rPr>
          <w:rFonts w:ascii="Verdana" w:hAnsi="Verdana"/>
        </w:rPr>
        <w:t xml:space="preserve">Each question has four response categories: 1: “no difficulty”, 2: “some difficulty”, 3: “a lot of difficulty”, and 4: “cannot do it at all”. See </w:t>
      </w:r>
      <w:hyperlink r:id="rId33" w:history="1">
        <w:r w:rsidRPr="00C33093">
          <w:rPr>
            <w:rFonts w:ascii="Verdana" w:hAnsi="Verdana"/>
            <w:color w:val="0563C1"/>
            <w:u w:val="single"/>
          </w:rPr>
          <w:t>here</w:t>
        </w:r>
      </w:hyperlink>
      <w:r w:rsidRPr="00C33093">
        <w:rPr>
          <w:rFonts w:ascii="Verdana" w:hAnsi="Verdana"/>
        </w:rPr>
        <w:t xml:space="preserve"> for additional info about the use of the WGSS in New Zealand.</w:t>
      </w:r>
    </w:p>
    <w:p w14:paraId="386DC8D2" w14:textId="77777777" w:rsidR="00852EE8" w:rsidRPr="00C33093" w:rsidRDefault="00852EE8" w:rsidP="001A0A40">
      <w:pPr>
        <w:pStyle w:val="SWABodyTextAfterBullet"/>
        <w:rPr>
          <w:rFonts w:ascii="Verdana" w:hAnsi="Verdana"/>
        </w:rPr>
      </w:pPr>
      <w:r w:rsidRPr="00C33093">
        <w:rPr>
          <w:rFonts w:ascii="Verdana" w:hAnsi="Verdana"/>
        </w:rPr>
        <w:t>The first disability SWA indicator used the following data sources and maps answers to questions so they align with the WGSS:</w:t>
      </w:r>
    </w:p>
    <w:p w14:paraId="66BDE6B8" w14:textId="77777777" w:rsidR="00852EE8" w:rsidRPr="00C33093" w:rsidRDefault="00852EE8" w:rsidP="001C13FB">
      <w:pPr>
        <w:pStyle w:val="SWABodyTextAfterBullet"/>
        <w:spacing w:before="0" w:after="0"/>
        <w:rPr>
          <w:rFonts w:ascii="Verdana" w:hAnsi="Verdana" w:cs="Calibri"/>
        </w:rPr>
      </w:pPr>
      <w:r w:rsidRPr="00C33093">
        <w:rPr>
          <w:rFonts w:ascii="Verdana" w:hAnsi="Verdana" w:cs="Calibri"/>
        </w:rPr>
        <w:t>The WGSS implementation in the 2018 Census</w:t>
      </w:r>
    </w:p>
    <w:p w14:paraId="1E491728" w14:textId="77777777" w:rsidR="00852EE8" w:rsidRPr="00C33093" w:rsidRDefault="00852EE8" w:rsidP="001C13FB">
      <w:pPr>
        <w:pStyle w:val="SWABodyTextAfterBullet"/>
        <w:spacing w:before="0" w:after="0"/>
        <w:rPr>
          <w:rFonts w:ascii="Verdana" w:hAnsi="Verdana" w:cs="Calibri"/>
        </w:rPr>
      </w:pPr>
      <w:r w:rsidRPr="00C33093">
        <w:rPr>
          <w:rFonts w:ascii="Verdana" w:hAnsi="Verdana" w:cs="Calibri"/>
        </w:rPr>
        <w:t>Specific questions around support needs collected as part of the NASC assessments and stored in SOCRATES</w:t>
      </w:r>
      <w:r w:rsidR="006E3411" w:rsidRPr="00C33093">
        <w:rPr>
          <w:rFonts w:ascii="Verdana" w:hAnsi="Verdana" w:cs="Calibri"/>
        </w:rPr>
        <w:t xml:space="preserve"> (see </w:t>
      </w:r>
      <w:hyperlink r:id="rId34" w:history="1">
        <w:r w:rsidR="006E3411" w:rsidRPr="00C33093">
          <w:rPr>
            <w:rStyle w:val="Hyperlink"/>
            <w:rFonts w:ascii="Verdana" w:eastAsia="Calibri" w:hAnsi="Verdana" w:cs="Calibri"/>
            <w:sz w:val="22"/>
            <w:lang w:eastAsia="en-US"/>
          </w:rPr>
          <w:t>here</w:t>
        </w:r>
      </w:hyperlink>
      <w:r w:rsidR="006E3411" w:rsidRPr="00C33093">
        <w:rPr>
          <w:rFonts w:ascii="Verdana" w:hAnsi="Verdana" w:cs="Calibri"/>
        </w:rPr>
        <w:t xml:space="preserve"> for more information)</w:t>
      </w:r>
    </w:p>
    <w:p w14:paraId="750A2C19" w14:textId="77777777" w:rsidR="00852EE8" w:rsidRPr="00C33093" w:rsidRDefault="00852EE8" w:rsidP="001C13FB">
      <w:pPr>
        <w:pStyle w:val="SWABodyTextAfterBullet"/>
        <w:spacing w:before="0" w:after="0"/>
        <w:rPr>
          <w:rFonts w:ascii="Verdana" w:hAnsi="Verdana" w:cs="Calibri"/>
        </w:rPr>
      </w:pPr>
      <w:r w:rsidRPr="00C33093">
        <w:rPr>
          <w:rFonts w:ascii="Verdana" w:hAnsi="Verdana" w:cs="Calibri"/>
        </w:rPr>
        <w:t xml:space="preserve">Specific questions about functional needs collected as part of a subset of the </w:t>
      </w:r>
      <w:proofErr w:type="spellStart"/>
      <w:r w:rsidRPr="00C33093">
        <w:rPr>
          <w:rFonts w:ascii="Verdana" w:hAnsi="Verdana" w:cs="Calibri"/>
        </w:rPr>
        <w:t>InterRAI</w:t>
      </w:r>
      <w:proofErr w:type="spellEnd"/>
      <w:r w:rsidRPr="00C33093">
        <w:rPr>
          <w:rFonts w:ascii="Verdana" w:hAnsi="Verdana" w:cs="Calibri"/>
        </w:rPr>
        <w:t xml:space="preserve"> assessment tools</w:t>
      </w:r>
    </w:p>
    <w:p w14:paraId="224AC1BB" w14:textId="77777777" w:rsidR="00852EE8" w:rsidRPr="00C33093" w:rsidRDefault="00852EE8" w:rsidP="001C13FB">
      <w:pPr>
        <w:pStyle w:val="SWABodyTextAfterBullet"/>
        <w:rPr>
          <w:rFonts w:ascii="Verdana" w:hAnsi="Verdana"/>
        </w:rPr>
      </w:pPr>
      <w:r w:rsidRPr="00C33093">
        <w:rPr>
          <w:rFonts w:ascii="Verdana" w:hAnsi="Verdana"/>
        </w:rPr>
        <w:t xml:space="preserve">The date of collection for each “assessment” is recorded and the “assessment” scores that are closest to the date of interest are kept. For example, if </w:t>
      </w:r>
      <w:r w:rsidR="006E3411" w:rsidRPr="00C33093">
        <w:rPr>
          <w:rFonts w:ascii="Verdana" w:hAnsi="Verdana"/>
        </w:rPr>
        <w:t>someone</w:t>
      </w:r>
      <w:r w:rsidRPr="00C33093">
        <w:rPr>
          <w:rFonts w:ascii="Verdana" w:hAnsi="Verdana"/>
        </w:rPr>
        <w:t xml:space="preserve"> has “assessment” data from Census 2018, SOCRATES and </w:t>
      </w:r>
      <w:proofErr w:type="spellStart"/>
      <w:r w:rsidRPr="00C33093">
        <w:rPr>
          <w:rFonts w:ascii="Verdana" w:hAnsi="Verdana"/>
        </w:rPr>
        <w:t>InterRAI</w:t>
      </w:r>
      <w:proofErr w:type="spellEnd"/>
      <w:r w:rsidRPr="00C33093">
        <w:rPr>
          <w:rFonts w:ascii="Verdana" w:hAnsi="Verdana"/>
        </w:rPr>
        <w:t xml:space="preserve"> then the record which is closest to the date of interest is kept.</w:t>
      </w:r>
    </w:p>
    <w:p w14:paraId="28F6E625" w14:textId="77777777" w:rsidR="006E3411" w:rsidRPr="00C33093" w:rsidRDefault="006E3411" w:rsidP="001C13FB">
      <w:pPr>
        <w:pStyle w:val="SWABodyTextAfterBullet"/>
        <w:rPr>
          <w:rFonts w:ascii="Verdana" w:hAnsi="Verdana"/>
        </w:rPr>
      </w:pPr>
      <w:r w:rsidRPr="00C33093">
        <w:rPr>
          <w:rFonts w:ascii="Verdana" w:hAnsi="Verdana"/>
          <w:lang w:val="mi-NZ"/>
        </w:rPr>
        <w:t xml:space="preserve">It’s important to note that “the information that results from the use of these questions will, a) represent the majority of, but not all, persons with limitation in basic actions, b) represent the most commonly occurring limitations in basic actions, and c) be able to capture persons with similar problems across countries.” (source - </w:t>
      </w:r>
      <w:r w:rsidR="00602AA3">
        <w:fldChar w:fldCharType="begin"/>
      </w:r>
      <w:r w:rsidR="00602AA3">
        <w:instrText xml:space="preserve"> HYPERLINK "https://www.washingtongroup-disability.com/question-sets/wg-short-set-on-functioning-wg-ss/" </w:instrText>
      </w:r>
      <w:r w:rsidR="00602AA3">
        <w:fldChar w:fldCharType="separate"/>
      </w:r>
      <w:r w:rsidRPr="00C33093">
        <w:rPr>
          <w:rStyle w:val="Hyperlink"/>
          <w:rFonts w:ascii="Verdana" w:eastAsia="Calibri" w:hAnsi="Verdana"/>
          <w:sz w:val="22"/>
          <w:lang w:val="mi-NZ" w:eastAsia="en-US"/>
        </w:rPr>
        <w:t>https://www.washingtongroup-disability.com/question-sets/wg-short-set-on-functioning-wg-ss/</w:t>
      </w:r>
      <w:r w:rsidR="00602AA3">
        <w:rPr>
          <w:rStyle w:val="Hyperlink"/>
          <w:rFonts w:ascii="Verdana" w:eastAsia="Calibri" w:hAnsi="Verdana"/>
          <w:sz w:val="22"/>
          <w:lang w:val="mi-NZ" w:eastAsia="en-US"/>
        </w:rPr>
        <w:fldChar w:fldCharType="end"/>
      </w:r>
      <w:r w:rsidRPr="00C33093">
        <w:rPr>
          <w:rFonts w:ascii="Verdana" w:hAnsi="Verdana"/>
          <w:lang w:val="mi-NZ"/>
        </w:rPr>
        <w:t>).</w:t>
      </w:r>
    </w:p>
    <w:p w14:paraId="22E7F0A9" w14:textId="77777777" w:rsidR="00852EE8" w:rsidRPr="00C33093" w:rsidRDefault="00852EE8" w:rsidP="001C13FB">
      <w:pPr>
        <w:pStyle w:val="Heading5"/>
        <w:rPr>
          <w:rFonts w:ascii="Verdana" w:hAnsi="Verdana"/>
        </w:rPr>
      </w:pPr>
      <w:r w:rsidRPr="00C33093">
        <w:rPr>
          <w:rFonts w:ascii="Verdana" w:hAnsi="Verdana"/>
        </w:rPr>
        <w:t>Updated indicator for disabled children</w:t>
      </w:r>
    </w:p>
    <w:p w14:paraId="3708475B" w14:textId="77777777" w:rsidR="00744608" w:rsidRPr="00C33093" w:rsidRDefault="00852EE8" w:rsidP="001C13FB">
      <w:pPr>
        <w:pStyle w:val="SWABodyTextAfterBullet"/>
        <w:rPr>
          <w:rFonts w:ascii="Verdana" w:hAnsi="Verdana"/>
        </w:rPr>
      </w:pPr>
      <w:r w:rsidRPr="00C33093">
        <w:rPr>
          <w:rFonts w:ascii="Verdana" w:hAnsi="Verdana"/>
        </w:rPr>
        <w:t xml:space="preserve">The initial disability indicator is limited in relation to disabled children because it under-represents the disability prevalence for children under the age of 9 </w:t>
      </w:r>
      <w:r w:rsidRPr="00C33093">
        <w:rPr>
          <w:rFonts w:ascii="Verdana" w:hAnsi="Verdana"/>
        </w:rPr>
        <w:lastRenderedPageBreak/>
        <w:t xml:space="preserve">years. This is most evident for question response 2: “some difficulty” and somewhat evident for responses 3: “a lot of difficulty”, and 4: “cannot do it at all”. </w:t>
      </w:r>
    </w:p>
    <w:p w14:paraId="53A63E3B" w14:textId="77777777" w:rsidR="006E3411" w:rsidRPr="00C33093" w:rsidRDefault="00744608" w:rsidP="001C13FB">
      <w:pPr>
        <w:pStyle w:val="SWABodyTextAfterBullet"/>
        <w:rPr>
          <w:rFonts w:ascii="Verdana" w:hAnsi="Verdana"/>
        </w:rPr>
      </w:pPr>
      <w:r w:rsidRPr="00C33093">
        <w:rPr>
          <w:rFonts w:ascii="Verdana" w:hAnsi="Verdana"/>
        </w:rPr>
        <w:t xml:space="preserve">The WGSS questions “were designed for a census context where the collection of disability data in a country may be otherwise very limited. The WG has acknowledged that disability among children, due to the circumstances of child development and transition from infancy to adolescence, is not adequately covered by these questions and disability prevalence using the WGSS among those 5-17 years of age will be underestimated” (source - </w:t>
      </w:r>
      <w:hyperlink r:id="rId35" w:history="1">
        <w:r w:rsidRPr="00C33093">
          <w:rPr>
            <w:rStyle w:val="Hyperlink"/>
            <w:rFonts w:ascii="Verdana" w:hAnsi="Verdana"/>
            <w:color w:val="auto"/>
            <w:u w:val="none"/>
          </w:rPr>
          <w:t>https://www.washingtongroup-disability.com/resources/frequently-asked-questions/short-set/</w:t>
        </w:r>
      </w:hyperlink>
      <w:r w:rsidRPr="00C33093">
        <w:rPr>
          <w:rFonts w:ascii="Verdana" w:hAnsi="Verdana"/>
        </w:rPr>
        <w:t>).</w:t>
      </w:r>
    </w:p>
    <w:p w14:paraId="2BAE44E9" w14:textId="77777777" w:rsidR="00852EE8" w:rsidRPr="00C33093" w:rsidRDefault="00852EE8" w:rsidP="001C13FB">
      <w:pPr>
        <w:pStyle w:val="SWABodyTextAfterBullet"/>
        <w:rPr>
          <w:rFonts w:ascii="Verdana" w:hAnsi="Verdana"/>
        </w:rPr>
      </w:pPr>
      <w:r w:rsidRPr="00C33093">
        <w:rPr>
          <w:rFonts w:ascii="Verdana" w:hAnsi="Verdana"/>
        </w:rPr>
        <w:t>The updated indicator is an attempt to get more sensitivity to functional disability in children 5-11 years of age. The updated indicator therefore includes Ministry of Education ORS funding criteria. The Ministry of Education website describes ORS (the Ongoing Resourcing Scheme) as providing support for students with the highest ongoing levels of need for specialist support. The scheme enables them to attend school and participate alongside other students. Note, many other data sources are diagnostic criteria and add very little in the way of counts.</w:t>
      </w:r>
    </w:p>
    <w:p w14:paraId="57967290" w14:textId="77777777" w:rsidR="00852EE8" w:rsidRPr="00C33093" w:rsidRDefault="00852EE8" w:rsidP="001C13FB">
      <w:pPr>
        <w:pStyle w:val="SWABodyTextAfterBullet"/>
        <w:rPr>
          <w:rFonts w:ascii="Verdana" w:hAnsi="Verdana"/>
        </w:rPr>
      </w:pPr>
      <w:r w:rsidRPr="00C33093">
        <w:rPr>
          <w:rFonts w:ascii="Verdana" w:hAnsi="Verdana"/>
        </w:rPr>
        <w:t xml:space="preserve">The updated indicator adds the level of disability from the ORS criteria (None=1, Moderate=2, High=3 and Very High=4) but not the domains as the ORS criteria domains do not map well to the WGSS categories. See </w:t>
      </w:r>
      <w:hyperlink r:id="rId36" w:history="1">
        <w:r w:rsidRPr="00C33093">
          <w:rPr>
            <w:rFonts w:ascii="Verdana" w:hAnsi="Verdana"/>
          </w:rPr>
          <w:t>Criteria and definitions for Ongoing Resourcing Scheme (ORS) – Education in New Zealand</w:t>
        </w:r>
      </w:hyperlink>
      <w:r w:rsidRPr="00C33093">
        <w:rPr>
          <w:rFonts w:ascii="Verdana" w:hAnsi="Verdana"/>
        </w:rPr>
        <w:t>. The moderate ORS criteria have very low counts as they require three criteria to trigger ORS funding. This means that using ORS criteria increases coverage of high and very high disability (levels 3 and 4) but very little for moderate (level 2).</w:t>
      </w:r>
    </w:p>
    <w:p w14:paraId="41B5E8F0" w14:textId="77777777" w:rsidR="00852EE8" w:rsidRPr="00C33093" w:rsidRDefault="00852EE8" w:rsidP="001C13FB">
      <w:pPr>
        <w:pStyle w:val="SWABodyTextAfterBullet"/>
        <w:rPr>
          <w:rFonts w:ascii="Verdana" w:hAnsi="Verdana"/>
        </w:rPr>
      </w:pPr>
      <w:r w:rsidRPr="00C33093">
        <w:rPr>
          <w:rFonts w:ascii="Verdana" w:hAnsi="Verdana"/>
        </w:rPr>
        <w:t xml:space="preserve">The number of disabled children identified by the updated indicator using ORS data for children ages 5-11 is approximately </w:t>
      </w:r>
      <w:r w:rsidR="004D27D4" w:rsidRPr="00C33093">
        <w:rPr>
          <w:rFonts w:ascii="Verdana" w:hAnsi="Verdana"/>
        </w:rPr>
        <w:t>10</w:t>
      </w:r>
      <w:r w:rsidRPr="00C33093">
        <w:rPr>
          <w:rFonts w:ascii="Verdana" w:hAnsi="Verdana"/>
        </w:rPr>
        <w:t xml:space="preserve"> per cent higher compared to the initial indicator.</w:t>
      </w:r>
    </w:p>
    <w:p w14:paraId="7AB604DE" w14:textId="77777777" w:rsidR="00852EE8" w:rsidRPr="00852EE8" w:rsidRDefault="00852EE8" w:rsidP="001C13FB">
      <w:pPr>
        <w:pStyle w:val="Heading4"/>
      </w:pPr>
      <w:r w:rsidRPr="00852EE8">
        <w:t>Limitations of the analysis</w:t>
      </w:r>
    </w:p>
    <w:p w14:paraId="33E5B601" w14:textId="77777777" w:rsidR="00852EE8" w:rsidRPr="00C33093" w:rsidRDefault="00852EE8" w:rsidP="00852EE8">
      <w:pPr>
        <w:spacing w:after="240" w:line="259" w:lineRule="auto"/>
        <w:rPr>
          <w:rFonts w:ascii="Verdana" w:eastAsia="Calibri" w:hAnsi="Verdana"/>
          <w:sz w:val="22"/>
          <w:szCs w:val="22"/>
          <w:lang w:eastAsia="en-US"/>
        </w:rPr>
      </w:pPr>
      <w:r w:rsidRPr="00C33093">
        <w:rPr>
          <w:rStyle w:val="Heading5Char"/>
          <w:rFonts w:ascii="Verdana" w:hAnsi="Verdana"/>
        </w:rPr>
        <w:t>Disability indicators</w:t>
      </w:r>
      <w:r w:rsidRPr="00C33093">
        <w:rPr>
          <w:rFonts w:ascii="Verdana" w:eastAsia="Calibri" w:hAnsi="Verdana"/>
          <w:b/>
          <w:bCs/>
          <w:sz w:val="22"/>
          <w:szCs w:val="22"/>
          <w:lang w:eastAsia="en-US"/>
        </w:rPr>
        <w:br/>
      </w:r>
      <w:r w:rsidRPr="00C33093">
        <w:rPr>
          <w:rFonts w:ascii="Verdana" w:eastAsia="Calibri" w:hAnsi="Verdana"/>
          <w:lang w:eastAsia="en-US"/>
        </w:rPr>
        <w:t>This analysis focuses on disabilities, specifically functional difficulties, identified within Stats NZ’s IDI. The Agency acknowledges that there are groups with disabilities not captured by this indicator. Consequently, the indicator is likely to capture only a subset of the disabled population. It may also miss some individuals who do have functional difficulties due to not being captured in the data collected within the IDI. The indicator may also classify individuals as disabled despite having low levels of difficulty that are temporary. The analysis is therefore an approximation of the vaccination uptake of the estimated disabled population and is not intended to be precise.</w:t>
      </w:r>
    </w:p>
    <w:p w14:paraId="0E8419DC" w14:textId="77777777" w:rsidR="00852EE8" w:rsidRPr="00C33093" w:rsidRDefault="00852EE8" w:rsidP="00852EE8">
      <w:pPr>
        <w:spacing w:after="240" w:line="259" w:lineRule="auto"/>
        <w:rPr>
          <w:rFonts w:ascii="Verdana" w:eastAsia="Calibri" w:hAnsi="Verdana" w:cs="Calibri"/>
          <w:lang w:eastAsia="en-US"/>
        </w:rPr>
      </w:pPr>
      <w:r w:rsidRPr="00C33093">
        <w:rPr>
          <w:rStyle w:val="Heading5Char"/>
          <w:rFonts w:ascii="Verdana" w:hAnsi="Verdana"/>
        </w:rPr>
        <w:lastRenderedPageBreak/>
        <w:t>IDI based limitations</w:t>
      </w:r>
      <w:r w:rsidRPr="00C33093">
        <w:rPr>
          <w:rFonts w:ascii="Verdana" w:eastAsia="Calibri" w:hAnsi="Verdana"/>
          <w:b/>
          <w:bCs/>
          <w:sz w:val="22"/>
          <w:szCs w:val="22"/>
          <w:lang w:eastAsia="en-US"/>
        </w:rPr>
        <w:br/>
      </w:r>
      <w:r w:rsidRPr="00C33093">
        <w:rPr>
          <w:rFonts w:ascii="Verdana" w:eastAsia="Calibri" w:hAnsi="Verdana" w:cs="Calibri"/>
          <w:lang w:eastAsia="en-US"/>
        </w:rPr>
        <w:t xml:space="preserve">Although the IDI contains a rich set of administrative data provided by government agencies, linking individuals across these datasets presents challenges due to incorrect or missing data. Duplicate identities within the IDI are sometimes </w:t>
      </w:r>
      <w:r w:rsidR="006E3411" w:rsidRPr="00C33093">
        <w:rPr>
          <w:rFonts w:ascii="Verdana" w:eastAsia="Calibri" w:hAnsi="Verdana" w:cs="Calibri"/>
          <w:lang w:eastAsia="en-US"/>
        </w:rPr>
        <w:t>created and</w:t>
      </w:r>
      <w:r w:rsidRPr="00C33093">
        <w:rPr>
          <w:rFonts w:ascii="Verdana" w:eastAsia="Calibri" w:hAnsi="Verdana" w:cs="Calibri"/>
          <w:lang w:eastAsia="en-US"/>
        </w:rPr>
        <w:t xml:space="preserve"> matching across datasets is limited to instances where the names and date of birth details provided match.</w:t>
      </w:r>
    </w:p>
    <w:p w14:paraId="7CE0CA0F" w14:textId="77777777" w:rsidR="004F1050" w:rsidRPr="00C33093" w:rsidRDefault="00852EE8" w:rsidP="001C13FB">
      <w:pPr>
        <w:spacing w:after="240" w:line="259" w:lineRule="auto"/>
        <w:rPr>
          <w:rFonts w:ascii="Verdana" w:eastAsia="Times New Roman" w:hAnsi="Verdana"/>
          <w:color w:val="2F5496"/>
          <w:sz w:val="26"/>
          <w:szCs w:val="26"/>
          <w:lang w:eastAsia="en-US"/>
        </w:rPr>
      </w:pPr>
      <w:r w:rsidRPr="00C33093">
        <w:rPr>
          <w:rFonts w:ascii="Verdana" w:eastAsia="Calibri" w:hAnsi="Verdana" w:cs="Calibri"/>
          <w:lang w:eastAsia="en-US"/>
        </w:rPr>
        <w:t xml:space="preserve">For example, 96.2% of the Covid-19 Immunisation Register’s (CIR) identities can be matched to the IDI’s ‘Spine’ – effectively a list of identities that Stats NZ is confident are real and can be used to match across datasets. Due to the inability to link 3.8% of CIR individuals to other datasets within the IDI, the vaccination rates presented here are likely to underestimate the true vaccination rate. </w:t>
      </w:r>
      <w:r w:rsidR="003B3DD9" w:rsidRPr="00C33093">
        <w:rPr>
          <w:rFonts w:ascii="Verdana" w:eastAsia="Calibri" w:hAnsi="Verdana" w:cs="Calibri"/>
          <w:lang w:eastAsia="en-US"/>
        </w:rPr>
        <w:t>However, it’s important to note that the</w:t>
      </w:r>
      <w:r w:rsidRPr="00C33093">
        <w:rPr>
          <w:rFonts w:ascii="Verdana" w:eastAsia="Calibri" w:hAnsi="Verdana" w:cs="Calibri"/>
          <w:lang w:eastAsia="en-US"/>
        </w:rPr>
        <w:t xml:space="preserve"> difference between the true vaccination rate and our estimated rates varies between groups.</w:t>
      </w:r>
    </w:p>
    <w:p w14:paraId="56B4AA0B" w14:textId="77777777" w:rsidR="00F42D5B" w:rsidRPr="00C33093" w:rsidRDefault="00F42D5B" w:rsidP="001C13FB">
      <w:pPr>
        <w:pStyle w:val="Heading5"/>
        <w:rPr>
          <w:rFonts w:ascii="Verdana" w:hAnsi="Verdana"/>
        </w:rPr>
      </w:pPr>
      <w:r w:rsidRPr="00C33093">
        <w:rPr>
          <w:rFonts w:ascii="Verdana" w:hAnsi="Verdana"/>
        </w:rPr>
        <w:t>Data dictionary</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086"/>
      </w:tblGrid>
      <w:tr w:rsidR="00F42D5B" w:rsidRPr="00C33093" w14:paraId="164D5C9D" w14:textId="77777777" w:rsidTr="007068B5">
        <w:trPr>
          <w:trHeight w:val="300"/>
        </w:trPr>
        <w:tc>
          <w:tcPr>
            <w:tcW w:w="2552" w:type="dxa"/>
            <w:shd w:val="clear" w:color="000000" w:fill="D9D9D9"/>
            <w:noWrap/>
            <w:vAlign w:val="bottom"/>
            <w:hideMark/>
          </w:tcPr>
          <w:p w14:paraId="6BEC46EE" w14:textId="77777777" w:rsidR="00F42D5B" w:rsidRPr="00C33093" w:rsidRDefault="00F42D5B" w:rsidP="007068B5">
            <w:pPr>
              <w:spacing w:after="0" w:line="240" w:lineRule="auto"/>
              <w:rPr>
                <w:rFonts w:ascii="Verdana" w:eastAsia="Times New Roman" w:hAnsi="Verdana"/>
                <w:b/>
                <w:bCs/>
                <w:color w:val="000000"/>
                <w:sz w:val="22"/>
                <w:szCs w:val="22"/>
                <w:lang w:eastAsia="en-NZ"/>
              </w:rPr>
            </w:pPr>
            <w:r w:rsidRPr="00C33093">
              <w:rPr>
                <w:rFonts w:ascii="Verdana" w:eastAsia="Times New Roman" w:hAnsi="Verdana"/>
                <w:b/>
                <w:bCs/>
                <w:color w:val="000000"/>
                <w:sz w:val="22"/>
                <w:szCs w:val="22"/>
                <w:lang w:eastAsia="en-NZ"/>
              </w:rPr>
              <w:t>Indicator name</w:t>
            </w:r>
          </w:p>
        </w:tc>
        <w:tc>
          <w:tcPr>
            <w:tcW w:w="7086" w:type="dxa"/>
            <w:shd w:val="clear" w:color="000000" w:fill="D9D9D9"/>
            <w:noWrap/>
            <w:vAlign w:val="bottom"/>
            <w:hideMark/>
          </w:tcPr>
          <w:p w14:paraId="6269F79E" w14:textId="77777777" w:rsidR="00F42D5B" w:rsidRPr="00C33093" w:rsidRDefault="00F42D5B" w:rsidP="007068B5">
            <w:pPr>
              <w:spacing w:after="0" w:line="240" w:lineRule="auto"/>
              <w:rPr>
                <w:rFonts w:ascii="Verdana" w:eastAsia="Times New Roman" w:hAnsi="Verdana"/>
                <w:b/>
                <w:bCs/>
                <w:color w:val="000000"/>
                <w:sz w:val="22"/>
                <w:szCs w:val="22"/>
                <w:lang w:eastAsia="en-NZ"/>
              </w:rPr>
            </w:pPr>
            <w:r w:rsidRPr="00C33093">
              <w:rPr>
                <w:rFonts w:ascii="Verdana" w:eastAsia="Times New Roman" w:hAnsi="Verdana"/>
                <w:b/>
                <w:bCs/>
                <w:color w:val="000000"/>
                <w:sz w:val="22"/>
                <w:szCs w:val="22"/>
                <w:lang w:eastAsia="en-NZ"/>
              </w:rPr>
              <w:t>Description &amp; notes</w:t>
            </w:r>
          </w:p>
        </w:tc>
      </w:tr>
      <w:tr w:rsidR="00F42D5B" w:rsidRPr="00C33093" w14:paraId="1EA4762B" w14:textId="77777777" w:rsidTr="007068B5">
        <w:trPr>
          <w:trHeight w:val="285"/>
        </w:trPr>
        <w:tc>
          <w:tcPr>
            <w:tcW w:w="2552" w:type="dxa"/>
            <w:shd w:val="clear" w:color="auto" w:fill="auto"/>
            <w:noWrap/>
            <w:vAlign w:val="bottom"/>
            <w:hideMark/>
          </w:tcPr>
          <w:p w14:paraId="30E6C24F" w14:textId="77777777" w:rsidR="00F42D5B" w:rsidRPr="00C33093" w:rsidRDefault="00F42D5B" w:rsidP="007068B5">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Ethnicity</w:t>
            </w:r>
          </w:p>
        </w:tc>
        <w:tc>
          <w:tcPr>
            <w:tcW w:w="7086" w:type="dxa"/>
            <w:shd w:val="clear" w:color="auto" w:fill="auto"/>
            <w:noWrap/>
            <w:vAlign w:val="bottom"/>
            <w:hideMark/>
          </w:tcPr>
          <w:p w14:paraId="1FB93149" w14:textId="77777777" w:rsidR="00F42D5B" w:rsidRPr="00C33093" w:rsidRDefault="00F42D5B" w:rsidP="007068B5">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Total ethnicity.</w:t>
            </w:r>
          </w:p>
        </w:tc>
      </w:tr>
      <w:tr w:rsidR="00F42D5B" w:rsidRPr="00C33093" w14:paraId="61694692" w14:textId="77777777" w:rsidTr="007068B5">
        <w:trPr>
          <w:trHeight w:val="1140"/>
        </w:trPr>
        <w:tc>
          <w:tcPr>
            <w:tcW w:w="2552" w:type="dxa"/>
            <w:shd w:val="clear" w:color="auto" w:fill="auto"/>
            <w:noWrap/>
            <w:hideMark/>
          </w:tcPr>
          <w:p w14:paraId="26560F63" w14:textId="77777777" w:rsidR="00F42D5B" w:rsidRPr="00C33093" w:rsidRDefault="00F42D5B" w:rsidP="007068B5">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Overall disability indicator</w:t>
            </w:r>
          </w:p>
        </w:tc>
        <w:tc>
          <w:tcPr>
            <w:tcW w:w="7086" w:type="dxa"/>
            <w:shd w:val="clear" w:color="auto" w:fill="auto"/>
            <w:vAlign w:val="bottom"/>
            <w:hideMark/>
          </w:tcPr>
          <w:p w14:paraId="4E99128B" w14:textId="77777777" w:rsidR="00F42D5B" w:rsidRPr="00C33093" w:rsidRDefault="00F42D5B" w:rsidP="007068B5">
            <w:pPr>
              <w:spacing w:after="0" w:line="240" w:lineRule="auto"/>
              <w:rPr>
                <w:rFonts w:ascii="Verdana" w:eastAsia="Times New Roman" w:hAnsi="Verdana"/>
                <w:b/>
                <w:bCs/>
                <w:color w:val="000000"/>
                <w:sz w:val="22"/>
                <w:szCs w:val="22"/>
                <w:lang w:eastAsia="en-NZ"/>
              </w:rPr>
            </w:pPr>
            <w:r w:rsidRPr="00C33093">
              <w:rPr>
                <w:rFonts w:ascii="Verdana" w:eastAsia="Times New Roman" w:hAnsi="Verdana"/>
                <w:color w:val="000000"/>
                <w:sz w:val="22"/>
                <w:szCs w:val="22"/>
                <w:lang w:eastAsia="en-NZ"/>
              </w:rPr>
              <w:t xml:space="preserve">We have categorised our overall disability indicator as follows: </w:t>
            </w:r>
            <w:r w:rsidRPr="00C33093">
              <w:rPr>
                <w:rFonts w:ascii="Verdana" w:eastAsia="Times New Roman" w:hAnsi="Verdana"/>
                <w:color w:val="000000"/>
                <w:sz w:val="22"/>
                <w:szCs w:val="22"/>
                <w:lang w:eastAsia="en-NZ"/>
              </w:rPr>
              <w:br/>
              <w:t>0 if no functional disability;</w:t>
            </w:r>
            <w:r w:rsidRPr="00C33093">
              <w:rPr>
                <w:rFonts w:ascii="Verdana" w:eastAsia="Times New Roman" w:hAnsi="Verdana"/>
                <w:color w:val="000000"/>
                <w:sz w:val="22"/>
                <w:szCs w:val="22"/>
                <w:lang w:eastAsia="en-NZ"/>
              </w:rPr>
              <w:br/>
              <w:t xml:space="preserve">1 if an individual has at least one functional disability classed as high, but none classed as very high; </w:t>
            </w:r>
            <w:proofErr w:type="gramStart"/>
            <w:r w:rsidRPr="00C33093">
              <w:rPr>
                <w:rFonts w:ascii="Verdana" w:eastAsia="Times New Roman" w:hAnsi="Verdana"/>
                <w:color w:val="000000"/>
                <w:sz w:val="22"/>
                <w:szCs w:val="22"/>
                <w:lang w:eastAsia="en-NZ"/>
              </w:rPr>
              <w:t>and,</w:t>
            </w:r>
            <w:proofErr w:type="gramEnd"/>
            <w:r w:rsidRPr="00C33093">
              <w:rPr>
                <w:rFonts w:ascii="Verdana" w:eastAsia="Times New Roman" w:hAnsi="Verdana"/>
                <w:color w:val="000000"/>
                <w:sz w:val="22"/>
                <w:szCs w:val="22"/>
                <w:lang w:eastAsia="en-NZ"/>
              </w:rPr>
              <w:t xml:space="preserve"> </w:t>
            </w:r>
            <w:r w:rsidRPr="00C33093">
              <w:rPr>
                <w:rFonts w:ascii="Verdana" w:eastAsia="Times New Roman" w:hAnsi="Verdana"/>
                <w:color w:val="000000"/>
                <w:sz w:val="22"/>
                <w:szCs w:val="22"/>
                <w:lang w:eastAsia="en-NZ"/>
              </w:rPr>
              <w:br/>
              <w:t>2 if an individual has at least one functional disability classed as very high.</w:t>
            </w:r>
            <w:r w:rsidRPr="00C33093">
              <w:rPr>
                <w:rFonts w:ascii="Verdana" w:eastAsia="Times New Roman" w:hAnsi="Verdana"/>
                <w:color w:val="000000"/>
                <w:sz w:val="22"/>
                <w:szCs w:val="22"/>
                <w:lang w:eastAsia="en-NZ"/>
              </w:rPr>
              <w:br/>
            </w:r>
            <w:r w:rsidRPr="00C33093">
              <w:rPr>
                <w:rFonts w:ascii="Verdana" w:eastAsia="Times New Roman" w:hAnsi="Verdana"/>
                <w:b/>
                <w:bCs/>
                <w:color w:val="000000"/>
                <w:sz w:val="22"/>
                <w:szCs w:val="22"/>
                <w:lang w:eastAsia="en-NZ"/>
              </w:rPr>
              <w:t>Note that for the above analysis we have aggregated categories 1 and 2 to create a binary disability indicator, 0 for non-disabled people and 1 for disabled people.</w:t>
            </w:r>
          </w:p>
        </w:tc>
      </w:tr>
      <w:tr w:rsidR="00F42D5B" w:rsidRPr="00C33093" w14:paraId="5AC40BCE" w14:textId="77777777" w:rsidTr="007068B5">
        <w:trPr>
          <w:trHeight w:val="285"/>
        </w:trPr>
        <w:tc>
          <w:tcPr>
            <w:tcW w:w="2552" w:type="dxa"/>
            <w:shd w:val="clear" w:color="auto" w:fill="auto"/>
            <w:noWrap/>
            <w:hideMark/>
          </w:tcPr>
          <w:p w14:paraId="1EC53458" w14:textId="77777777" w:rsidR="00F42D5B" w:rsidRPr="00C33093" w:rsidRDefault="00F42D5B" w:rsidP="007068B5">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MOH funded disability</w:t>
            </w:r>
          </w:p>
        </w:tc>
        <w:tc>
          <w:tcPr>
            <w:tcW w:w="7086" w:type="dxa"/>
            <w:shd w:val="clear" w:color="auto" w:fill="auto"/>
            <w:vAlign w:val="bottom"/>
            <w:hideMark/>
          </w:tcPr>
          <w:p w14:paraId="0E75DDA0" w14:textId="77777777" w:rsidR="00F42D5B" w:rsidRPr="00C33093" w:rsidRDefault="00F42D5B" w:rsidP="007068B5">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Indicator of whether an individual is receiving MOH funding for a disability.</w:t>
            </w:r>
          </w:p>
        </w:tc>
      </w:tr>
      <w:tr w:rsidR="00F42D5B" w:rsidRPr="00C33093" w14:paraId="52F405FD" w14:textId="77777777" w:rsidTr="007068B5">
        <w:trPr>
          <w:trHeight w:val="285"/>
        </w:trPr>
        <w:tc>
          <w:tcPr>
            <w:tcW w:w="2552" w:type="dxa"/>
            <w:shd w:val="clear" w:color="auto" w:fill="auto"/>
            <w:noWrap/>
            <w:hideMark/>
          </w:tcPr>
          <w:p w14:paraId="2E05BF05" w14:textId="77777777" w:rsidR="00F42D5B" w:rsidRPr="00C33093" w:rsidRDefault="00F42D5B" w:rsidP="007068B5">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PHO enrolled</w:t>
            </w:r>
          </w:p>
        </w:tc>
        <w:tc>
          <w:tcPr>
            <w:tcW w:w="7086" w:type="dxa"/>
            <w:shd w:val="clear" w:color="auto" w:fill="auto"/>
            <w:noWrap/>
            <w:vAlign w:val="bottom"/>
            <w:hideMark/>
          </w:tcPr>
          <w:p w14:paraId="2D7DECD9" w14:textId="77777777" w:rsidR="00F42D5B" w:rsidRPr="00C33093" w:rsidRDefault="00F42D5B" w:rsidP="007068B5">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Indicator of enrolment with a PHO.</w:t>
            </w:r>
          </w:p>
        </w:tc>
      </w:tr>
      <w:tr w:rsidR="00F42D5B" w:rsidRPr="00C33093" w14:paraId="2745A913" w14:textId="77777777" w:rsidTr="007068B5">
        <w:trPr>
          <w:trHeight w:val="285"/>
        </w:trPr>
        <w:tc>
          <w:tcPr>
            <w:tcW w:w="2552" w:type="dxa"/>
            <w:shd w:val="clear" w:color="auto" w:fill="auto"/>
            <w:noWrap/>
            <w:hideMark/>
          </w:tcPr>
          <w:p w14:paraId="7696ADD9" w14:textId="77777777" w:rsidR="00F42D5B" w:rsidRPr="00C33093" w:rsidRDefault="00F42D5B" w:rsidP="007068B5">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Number of GP contacts</w:t>
            </w:r>
          </w:p>
        </w:tc>
        <w:tc>
          <w:tcPr>
            <w:tcW w:w="7086" w:type="dxa"/>
            <w:shd w:val="clear" w:color="auto" w:fill="auto"/>
            <w:noWrap/>
            <w:vAlign w:val="bottom"/>
            <w:hideMark/>
          </w:tcPr>
          <w:p w14:paraId="0D98501A" w14:textId="77777777" w:rsidR="00F42D5B" w:rsidRPr="00C33093" w:rsidRDefault="00F42D5B" w:rsidP="007068B5">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Proxy for the number of GP visits between 1 Feb 2020 and 1 Feb 2021.</w:t>
            </w:r>
          </w:p>
        </w:tc>
      </w:tr>
      <w:tr w:rsidR="00BC79F7" w:rsidRPr="00C33093" w14:paraId="579E889D" w14:textId="77777777" w:rsidTr="007068B5">
        <w:trPr>
          <w:trHeight w:val="285"/>
        </w:trPr>
        <w:tc>
          <w:tcPr>
            <w:tcW w:w="2552" w:type="dxa"/>
            <w:shd w:val="clear" w:color="auto" w:fill="auto"/>
            <w:noWrap/>
            <w:hideMark/>
          </w:tcPr>
          <w:p w14:paraId="3673F726" w14:textId="77777777" w:rsidR="00BC79F7" w:rsidRPr="00C33093" w:rsidRDefault="00BC79F7" w:rsidP="00BC79F7">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Serious mental health illness</w:t>
            </w:r>
          </w:p>
        </w:tc>
        <w:tc>
          <w:tcPr>
            <w:tcW w:w="7086" w:type="dxa"/>
            <w:shd w:val="clear" w:color="auto" w:fill="auto"/>
            <w:noWrap/>
            <w:vAlign w:val="bottom"/>
            <w:hideMark/>
          </w:tcPr>
          <w:p w14:paraId="19DD3DF4" w14:textId="77777777" w:rsidR="00BC79F7" w:rsidRPr="00C33093" w:rsidRDefault="00BC79F7" w:rsidP="00BC79F7">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Indicator of a diagnosis of serious mental health illness, e.g., Schizophrenia, Bi-polar, major depressive disorder, or schizoaffective disorder.</w:t>
            </w:r>
          </w:p>
        </w:tc>
      </w:tr>
      <w:tr w:rsidR="00930B09" w:rsidRPr="00C33093" w14:paraId="63A5C799" w14:textId="77777777" w:rsidTr="007068B5">
        <w:trPr>
          <w:trHeight w:val="285"/>
        </w:trPr>
        <w:tc>
          <w:tcPr>
            <w:tcW w:w="2552" w:type="dxa"/>
            <w:shd w:val="clear" w:color="auto" w:fill="auto"/>
            <w:noWrap/>
          </w:tcPr>
          <w:p w14:paraId="77EBDA1B" w14:textId="77777777" w:rsidR="00930B09" w:rsidRPr="00C33093" w:rsidRDefault="004F1050" w:rsidP="007068B5">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Intellectual impairment</w:t>
            </w:r>
          </w:p>
        </w:tc>
        <w:tc>
          <w:tcPr>
            <w:tcW w:w="7086" w:type="dxa"/>
            <w:shd w:val="clear" w:color="auto" w:fill="auto"/>
            <w:noWrap/>
            <w:vAlign w:val="bottom"/>
          </w:tcPr>
          <w:p w14:paraId="2E1B2D4E" w14:textId="77777777" w:rsidR="00930B09" w:rsidRPr="00C33093" w:rsidRDefault="00BC79F7" w:rsidP="007068B5">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IQ of less than 70.</w:t>
            </w:r>
          </w:p>
        </w:tc>
      </w:tr>
      <w:tr w:rsidR="00930B09" w:rsidRPr="00C33093" w14:paraId="7E4988DC" w14:textId="77777777" w:rsidTr="007068B5">
        <w:trPr>
          <w:trHeight w:val="285"/>
        </w:trPr>
        <w:tc>
          <w:tcPr>
            <w:tcW w:w="2552" w:type="dxa"/>
            <w:shd w:val="clear" w:color="auto" w:fill="auto"/>
            <w:noWrap/>
          </w:tcPr>
          <w:p w14:paraId="69E7369C" w14:textId="77777777" w:rsidR="00930B09" w:rsidRPr="00C33093" w:rsidRDefault="004F1050" w:rsidP="007068B5">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Autism Spectrum Disorder</w:t>
            </w:r>
          </w:p>
        </w:tc>
        <w:tc>
          <w:tcPr>
            <w:tcW w:w="7086" w:type="dxa"/>
            <w:shd w:val="clear" w:color="auto" w:fill="auto"/>
            <w:noWrap/>
            <w:vAlign w:val="bottom"/>
          </w:tcPr>
          <w:p w14:paraId="6626EC71" w14:textId="77777777" w:rsidR="00930B09" w:rsidRPr="00C33093" w:rsidRDefault="004F1050" w:rsidP="007068B5">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All diagnoses for any date and any data sources (Public and private hospital discharges, SOCRATES, and MHINC/PRIMHD.</w:t>
            </w:r>
          </w:p>
        </w:tc>
      </w:tr>
      <w:tr w:rsidR="00F42D5B" w:rsidRPr="00C33093" w14:paraId="242A6EAC" w14:textId="77777777" w:rsidTr="007068B5">
        <w:trPr>
          <w:trHeight w:val="285"/>
        </w:trPr>
        <w:tc>
          <w:tcPr>
            <w:tcW w:w="2552" w:type="dxa"/>
            <w:shd w:val="clear" w:color="auto" w:fill="auto"/>
            <w:noWrap/>
            <w:hideMark/>
          </w:tcPr>
          <w:p w14:paraId="661449A5" w14:textId="77777777" w:rsidR="00F42D5B" w:rsidRPr="00C33093" w:rsidRDefault="00F42D5B" w:rsidP="007068B5">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Residential type</w:t>
            </w:r>
          </w:p>
        </w:tc>
        <w:tc>
          <w:tcPr>
            <w:tcW w:w="7086" w:type="dxa"/>
            <w:shd w:val="clear" w:color="auto" w:fill="auto"/>
            <w:noWrap/>
            <w:vAlign w:val="bottom"/>
            <w:hideMark/>
          </w:tcPr>
          <w:p w14:paraId="335A242C" w14:textId="77777777" w:rsidR="00F42D5B" w:rsidRPr="00C33093" w:rsidRDefault="00F42D5B" w:rsidP="007068B5">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Indicator of home situation for disabled people (Residential care, Disabled person living with another adult, Disabled person not living with another adult)</w:t>
            </w:r>
            <w:r w:rsidR="004F1050" w:rsidRPr="00C33093">
              <w:rPr>
                <w:rFonts w:ascii="Verdana" w:eastAsia="Times New Roman" w:hAnsi="Verdana"/>
                <w:color w:val="000000"/>
                <w:sz w:val="22"/>
                <w:szCs w:val="22"/>
                <w:lang w:eastAsia="en-NZ"/>
              </w:rPr>
              <w:t>.</w:t>
            </w:r>
          </w:p>
        </w:tc>
      </w:tr>
      <w:tr w:rsidR="00F42D5B" w:rsidRPr="00C33093" w14:paraId="795AE210" w14:textId="77777777" w:rsidTr="007068B5">
        <w:trPr>
          <w:trHeight w:val="285"/>
        </w:trPr>
        <w:tc>
          <w:tcPr>
            <w:tcW w:w="2552" w:type="dxa"/>
            <w:shd w:val="clear" w:color="auto" w:fill="auto"/>
            <w:noWrap/>
            <w:hideMark/>
          </w:tcPr>
          <w:p w14:paraId="0AE4894A" w14:textId="77777777" w:rsidR="00F42D5B" w:rsidRPr="00C33093" w:rsidRDefault="00F42D5B" w:rsidP="007068B5">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Tier 1 benefit recipients (excluding super)</w:t>
            </w:r>
          </w:p>
        </w:tc>
        <w:tc>
          <w:tcPr>
            <w:tcW w:w="7086" w:type="dxa"/>
            <w:shd w:val="clear" w:color="auto" w:fill="auto"/>
            <w:noWrap/>
            <w:vAlign w:val="bottom"/>
            <w:hideMark/>
          </w:tcPr>
          <w:p w14:paraId="7C739653" w14:textId="77777777" w:rsidR="00F42D5B" w:rsidRPr="00C33093" w:rsidRDefault="00F42D5B" w:rsidP="007068B5">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Indicator of T1 benefit receipt (other than super) anytime since 2020.</w:t>
            </w:r>
          </w:p>
        </w:tc>
      </w:tr>
      <w:tr w:rsidR="00F42D5B" w:rsidRPr="00C33093" w14:paraId="4991E3E3" w14:textId="77777777" w:rsidTr="007068B5">
        <w:trPr>
          <w:trHeight w:val="285"/>
        </w:trPr>
        <w:tc>
          <w:tcPr>
            <w:tcW w:w="2552" w:type="dxa"/>
            <w:shd w:val="clear" w:color="auto" w:fill="auto"/>
            <w:noWrap/>
            <w:hideMark/>
          </w:tcPr>
          <w:p w14:paraId="2E9F8004" w14:textId="77777777" w:rsidR="00F42D5B" w:rsidRPr="00C33093" w:rsidRDefault="00F42D5B" w:rsidP="007068B5">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Super recipient</w:t>
            </w:r>
          </w:p>
        </w:tc>
        <w:tc>
          <w:tcPr>
            <w:tcW w:w="7086" w:type="dxa"/>
            <w:shd w:val="clear" w:color="auto" w:fill="auto"/>
            <w:noWrap/>
            <w:vAlign w:val="bottom"/>
            <w:hideMark/>
          </w:tcPr>
          <w:p w14:paraId="37FEEB33" w14:textId="77777777" w:rsidR="00F42D5B" w:rsidRPr="00C33093" w:rsidRDefault="00F42D5B" w:rsidP="007068B5">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Indicator of super receipt</w:t>
            </w:r>
            <w:r w:rsidR="004F1050" w:rsidRPr="00C33093">
              <w:rPr>
                <w:rFonts w:ascii="Verdana" w:eastAsia="Times New Roman" w:hAnsi="Verdana"/>
                <w:color w:val="000000"/>
                <w:sz w:val="22"/>
                <w:szCs w:val="22"/>
                <w:lang w:eastAsia="en-NZ"/>
              </w:rPr>
              <w:t xml:space="preserve"> anytime since 2020.</w:t>
            </w:r>
          </w:p>
        </w:tc>
      </w:tr>
      <w:tr w:rsidR="00F42D5B" w:rsidRPr="00C33093" w14:paraId="36614014" w14:textId="77777777" w:rsidTr="007068B5">
        <w:trPr>
          <w:trHeight w:val="285"/>
        </w:trPr>
        <w:tc>
          <w:tcPr>
            <w:tcW w:w="2552" w:type="dxa"/>
            <w:shd w:val="clear" w:color="auto" w:fill="auto"/>
            <w:noWrap/>
            <w:hideMark/>
          </w:tcPr>
          <w:p w14:paraId="7CE04591" w14:textId="77777777" w:rsidR="00F42D5B" w:rsidRPr="00C33093" w:rsidRDefault="00F42D5B" w:rsidP="007068B5">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Social housing tenant</w:t>
            </w:r>
          </w:p>
        </w:tc>
        <w:tc>
          <w:tcPr>
            <w:tcW w:w="7086" w:type="dxa"/>
            <w:shd w:val="clear" w:color="auto" w:fill="auto"/>
            <w:noWrap/>
            <w:vAlign w:val="bottom"/>
            <w:hideMark/>
          </w:tcPr>
          <w:p w14:paraId="42D9BE2B" w14:textId="77777777" w:rsidR="00F42D5B" w:rsidRPr="00C33093" w:rsidRDefault="00F42D5B" w:rsidP="007068B5">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 xml:space="preserve">Indicator of being a tenant of social housing as </w:t>
            </w:r>
            <w:proofErr w:type="gramStart"/>
            <w:r w:rsidRPr="00C33093">
              <w:rPr>
                <w:rFonts w:ascii="Verdana" w:eastAsia="Times New Roman" w:hAnsi="Verdana"/>
                <w:color w:val="000000"/>
                <w:sz w:val="22"/>
                <w:szCs w:val="22"/>
                <w:lang w:eastAsia="en-NZ"/>
              </w:rPr>
              <w:t>at</w:t>
            </w:r>
            <w:proofErr w:type="gramEnd"/>
            <w:r w:rsidRPr="00C33093">
              <w:rPr>
                <w:rFonts w:ascii="Verdana" w:eastAsia="Times New Roman" w:hAnsi="Verdana"/>
                <w:color w:val="000000"/>
                <w:sz w:val="22"/>
                <w:szCs w:val="22"/>
                <w:lang w:eastAsia="en-NZ"/>
              </w:rPr>
              <w:t xml:space="preserve"> June 2021.</w:t>
            </w:r>
          </w:p>
        </w:tc>
      </w:tr>
      <w:tr w:rsidR="00BC79F7" w:rsidRPr="00C33093" w14:paraId="1CD153DE" w14:textId="77777777" w:rsidTr="007068B5">
        <w:trPr>
          <w:trHeight w:val="285"/>
        </w:trPr>
        <w:tc>
          <w:tcPr>
            <w:tcW w:w="2552" w:type="dxa"/>
            <w:shd w:val="clear" w:color="auto" w:fill="auto"/>
            <w:noWrap/>
          </w:tcPr>
          <w:p w14:paraId="4BE40B8B" w14:textId="77777777" w:rsidR="00BC79F7" w:rsidRPr="00C33093" w:rsidRDefault="00BC79F7" w:rsidP="00BC79F7">
            <w:pPr>
              <w:spacing w:after="0" w:line="240" w:lineRule="auto"/>
              <w:rPr>
                <w:rFonts w:ascii="Verdana" w:eastAsia="Times New Roman" w:hAnsi="Verdana"/>
                <w:color w:val="000000"/>
                <w:sz w:val="22"/>
                <w:szCs w:val="22"/>
                <w:lang w:eastAsia="en-NZ"/>
              </w:rPr>
            </w:pPr>
            <w:proofErr w:type="spellStart"/>
            <w:r w:rsidRPr="00C33093">
              <w:rPr>
                <w:rFonts w:ascii="Verdana" w:eastAsia="Times New Roman" w:hAnsi="Verdana"/>
                <w:color w:val="000000"/>
                <w:sz w:val="22"/>
                <w:szCs w:val="22"/>
                <w:lang w:eastAsia="en-NZ"/>
              </w:rPr>
              <w:lastRenderedPageBreak/>
              <w:t>ChiPs</w:t>
            </w:r>
            <w:proofErr w:type="spellEnd"/>
          </w:p>
        </w:tc>
        <w:tc>
          <w:tcPr>
            <w:tcW w:w="7086" w:type="dxa"/>
            <w:shd w:val="clear" w:color="auto" w:fill="auto"/>
            <w:noWrap/>
            <w:vAlign w:val="bottom"/>
          </w:tcPr>
          <w:p w14:paraId="069BA9E4" w14:textId="77777777" w:rsidR="00BC79F7" w:rsidRPr="00C33093" w:rsidRDefault="00BC79F7" w:rsidP="00BC79F7">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Community housing provider tenant as of late 2021.</w:t>
            </w:r>
          </w:p>
        </w:tc>
      </w:tr>
      <w:tr w:rsidR="00BC79F7" w:rsidRPr="00C33093" w14:paraId="5D03B8EF" w14:textId="77777777" w:rsidTr="007068B5">
        <w:trPr>
          <w:trHeight w:val="285"/>
        </w:trPr>
        <w:tc>
          <w:tcPr>
            <w:tcW w:w="2552" w:type="dxa"/>
            <w:shd w:val="clear" w:color="auto" w:fill="auto"/>
            <w:noWrap/>
          </w:tcPr>
          <w:p w14:paraId="258B1C6E" w14:textId="77777777" w:rsidR="00BC79F7" w:rsidRPr="00C33093" w:rsidRDefault="00BC79F7" w:rsidP="00BC79F7">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NZ Deprivation Index 2018</w:t>
            </w:r>
          </w:p>
        </w:tc>
        <w:tc>
          <w:tcPr>
            <w:tcW w:w="7086" w:type="dxa"/>
            <w:shd w:val="clear" w:color="auto" w:fill="auto"/>
            <w:noWrap/>
            <w:vAlign w:val="bottom"/>
          </w:tcPr>
          <w:p w14:paraId="64CE64F3" w14:textId="77777777" w:rsidR="00BC79F7" w:rsidRPr="00C33093" w:rsidRDefault="00BC79F7" w:rsidP="00BC79F7">
            <w:pPr>
              <w:spacing w:after="0" w:line="240" w:lineRule="auto"/>
              <w:rPr>
                <w:rFonts w:ascii="Verdana" w:eastAsia="Times New Roman" w:hAnsi="Verdana"/>
                <w:color w:val="000000"/>
                <w:sz w:val="22"/>
                <w:szCs w:val="22"/>
                <w:lang w:eastAsia="en-NZ"/>
              </w:rPr>
            </w:pPr>
            <w:r w:rsidRPr="00C33093">
              <w:rPr>
                <w:rFonts w:ascii="Verdana" w:eastAsia="Times New Roman" w:hAnsi="Verdana"/>
                <w:color w:val="000000"/>
                <w:sz w:val="22"/>
                <w:szCs w:val="22"/>
                <w:lang w:eastAsia="en-NZ"/>
              </w:rPr>
              <w:t xml:space="preserve">The </w:t>
            </w:r>
            <w:proofErr w:type="spellStart"/>
            <w:r w:rsidRPr="00C33093">
              <w:rPr>
                <w:rFonts w:ascii="Verdana" w:eastAsia="Times New Roman" w:hAnsi="Verdana"/>
                <w:color w:val="000000"/>
                <w:sz w:val="22"/>
                <w:szCs w:val="22"/>
                <w:lang w:eastAsia="en-NZ"/>
              </w:rPr>
              <w:t>NZDep</w:t>
            </w:r>
            <w:proofErr w:type="spellEnd"/>
            <w:r w:rsidRPr="00C33093">
              <w:rPr>
                <w:rFonts w:ascii="Verdana" w:eastAsia="Times New Roman" w:hAnsi="Verdana"/>
                <w:color w:val="000000"/>
                <w:sz w:val="22"/>
                <w:szCs w:val="22"/>
                <w:lang w:eastAsia="en-NZ"/>
              </w:rPr>
              <w:t xml:space="preserve"> is an area-based measure of socioeconomic deprivation in New Zealand [</w:t>
            </w:r>
            <w:hyperlink r:id="rId37" w:anchor="Ref1" w:history="1">
              <w:r w:rsidRPr="00C33093">
                <w:rPr>
                  <w:rStyle w:val="Hyperlink"/>
                  <w:rFonts w:ascii="Verdana" w:eastAsia="Times New Roman" w:hAnsi="Verdana"/>
                  <w:sz w:val="22"/>
                  <w:szCs w:val="22"/>
                  <w:lang w:eastAsia="en-NZ"/>
                </w:rPr>
                <w:t>1</w:t>
              </w:r>
            </w:hyperlink>
            <w:r w:rsidRPr="00C33093">
              <w:rPr>
                <w:rFonts w:ascii="Verdana" w:eastAsia="Times New Roman" w:hAnsi="Verdana"/>
                <w:color w:val="000000"/>
                <w:sz w:val="22"/>
                <w:szCs w:val="22"/>
                <w:lang w:eastAsia="en-NZ"/>
              </w:rPr>
              <w:t xml:space="preserve">]. It measures the level of deprivation for people in each small area. It is based on nine Census variables. </w:t>
            </w:r>
          </w:p>
        </w:tc>
      </w:tr>
    </w:tbl>
    <w:p w14:paraId="72DA8FEC" w14:textId="77777777" w:rsidR="00776EB4" w:rsidRPr="006E3411" w:rsidRDefault="00776EB4" w:rsidP="001C13FB">
      <w:pPr>
        <w:pStyle w:val="Heading4"/>
      </w:pPr>
      <w:r w:rsidRPr="006E3411">
        <w:t>Statistics New Zealand IDI Disclaimers</w:t>
      </w:r>
    </w:p>
    <w:p w14:paraId="45D04E8A" w14:textId="77777777" w:rsidR="00776EB4" w:rsidRPr="00C33093" w:rsidRDefault="00776EB4" w:rsidP="00776EB4">
      <w:pPr>
        <w:rPr>
          <w:rFonts w:ascii="Verdana" w:hAnsi="Verdana"/>
          <w:lang w:eastAsia="en-NZ"/>
        </w:rPr>
      </w:pPr>
      <w:r w:rsidRPr="00C33093">
        <w:rPr>
          <w:rStyle w:val="Heading5Char"/>
          <w:rFonts w:ascii="Verdana" w:hAnsi="Verdana"/>
        </w:rPr>
        <w:t>Disclaimer for output from Stats NZ Surveys</w:t>
      </w:r>
      <w:r w:rsidRPr="00C33093">
        <w:rPr>
          <w:rFonts w:ascii="Verdana" w:hAnsi="Verdana"/>
          <w:b/>
          <w:bCs/>
          <w:lang w:eastAsia="en-NZ"/>
        </w:rPr>
        <w:br/>
      </w:r>
      <w:r w:rsidRPr="00C33093">
        <w:rPr>
          <w:rFonts w:ascii="Verdana" w:hAnsi="Verdana"/>
          <w:lang w:eastAsia="en-NZ"/>
        </w:rPr>
        <w:t>Access to the data used in this study was provided by Stats NZ under conditions designed to give effect to the security and confidentiality provisions of the Statistics Act 1975. The results presented in this study are the work of the author, not Stats NZ or individual data suppliers.</w:t>
      </w:r>
    </w:p>
    <w:p w14:paraId="6361DD12" w14:textId="77777777" w:rsidR="00776EB4" w:rsidRPr="00C33093" w:rsidRDefault="00776EB4" w:rsidP="00776EB4">
      <w:pPr>
        <w:rPr>
          <w:rFonts w:ascii="Verdana" w:hAnsi="Verdana"/>
          <w:lang w:eastAsia="en-NZ"/>
        </w:rPr>
      </w:pPr>
      <w:r w:rsidRPr="00C33093">
        <w:rPr>
          <w:rStyle w:val="Heading5Char"/>
          <w:rFonts w:ascii="Verdana" w:hAnsi="Verdana"/>
        </w:rPr>
        <w:t>Disclaimer for output produced from the IDI</w:t>
      </w:r>
      <w:r w:rsidRPr="00C33093">
        <w:rPr>
          <w:rFonts w:ascii="Verdana" w:hAnsi="Verdana"/>
          <w:b/>
          <w:bCs/>
          <w:lang w:eastAsia="en-NZ"/>
        </w:rPr>
        <w:br/>
      </w:r>
      <w:r w:rsidRPr="00C33093">
        <w:rPr>
          <w:rFonts w:ascii="Verdana" w:hAnsi="Verdana"/>
          <w:lang w:eastAsia="en-NZ"/>
        </w:rPr>
        <w:t xml:space="preserve">These results are not official statistics. They have been created for research purposes from the Integrated Data Infrastructure IDI which is carefully managed by Stats NZ. For more information about the IDI please visit </w:t>
      </w:r>
      <w:hyperlink r:id="rId38" w:history="1">
        <w:r w:rsidRPr="00C33093">
          <w:rPr>
            <w:rStyle w:val="Hyperlink"/>
            <w:rFonts w:ascii="Verdana" w:hAnsi="Verdana"/>
            <w:lang w:eastAsia="en-NZ"/>
          </w:rPr>
          <w:t>https://www.stats.govt.nz/integrated-data/</w:t>
        </w:r>
      </w:hyperlink>
      <w:r w:rsidRPr="00C33093">
        <w:rPr>
          <w:rFonts w:ascii="Verdana" w:hAnsi="Verdana"/>
          <w:lang w:eastAsia="en-NZ"/>
        </w:rPr>
        <w:t>.</w:t>
      </w:r>
    </w:p>
    <w:p w14:paraId="3C6AECAE" w14:textId="77777777" w:rsidR="00E11768" w:rsidRPr="003E1D5D" w:rsidRDefault="00E11768" w:rsidP="00AF0C2C">
      <w:pPr>
        <w:pStyle w:val="Heading2"/>
      </w:pPr>
    </w:p>
    <w:sectPr w:rsidR="00E11768" w:rsidRPr="003E1D5D" w:rsidSect="00472726">
      <w:footerReference w:type="default" r:id="rId39"/>
      <w:headerReference w:type="first" r:id="rId40"/>
      <w:footerReference w:type="first" r:id="rId41"/>
      <w:pgSz w:w="11906" w:h="16838" w:code="9"/>
      <w:pgMar w:top="1134" w:right="1134" w:bottom="1134" w:left="1134" w:header="1984" w:footer="5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7E7D67" w14:textId="77777777" w:rsidR="00816D87" w:rsidRDefault="00816D87" w:rsidP="00C974C9">
      <w:pPr>
        <w:spacing w:after="0" w:line="240" w:lineRule="auto"/>
      </w:pPr>
      <w:r>
        <w:separator/>
      </w:r>
    </w:p>
    <w:p w14:paraId="4F9DA153" w14:textId="77777777" w:rsidR="00816D87" w:rsidRDefault="00816D87"/>
    <w:p w14:paraId="6D42BCE0" w14:textId="77777777" w:rsidR="00816D87" w:rsidRDefault="00816D87"/>
  </w:endnote>
  <w:endnote w:type="continuationSeparator" w:id="0">
    <w:p w14:paraId="328C7924" w14:textId="77777777" w:rsidR="00816D87" w:rsidRDefault="00816D87" w:rsidP="00C974C9">
      <w:pPr>
        <w:spacing w:after="0" w:line="240" w:lineRule="auto"/>
      </w:pPr>
      <w:r>
        <w:continuationSeparator/>
      </w:r>
    </w:p>
    <w:p w14:paraId="5210230F" w14:textId="77777777" w:rsidR="00816D87" w:rsidRDefault="00816D87"/>
    <w:p w14:paraId="501DCD24" w14:textId="77777777" w:rsidR="00816D87" w:rsidRDefault="00816D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907329"/>
      <w:docPartObj>
        <w:docPartGallery w:val="Page Numbers (Bottom of Page)"/>
        <w:docPartUnique/>
      </w:docPartObj>
    </w:sdtPr>
    <w:sdtEndPr>
      <w:rPr>
        <w:noProof/>
      </w:rPr>
    </w:sdtEndPr>
    <w:sdtContent>
      <w:p w14:paraId="01AC5992" w14:textId="77777777" w:rsidR="000303C3" w:rsidRDefault="000303C3">
        <w:pPr>
          <w:pStyle w:val="Footer"/>
          <w:jc w:val="right"/>
        </w:pPr>
        <w:r>
          <w:fldChar w:fldCharType="begin"/>
        </w:r>
        <w:r>
          <w:instrText xml:space="preserve"> PAGE   \* MERGEFORMAT </w:instrText>
        </w:r>
        <w:r>
          <w:fldChar w:fldCharType="separate"/>
        </w:r>
        <w:r w:rsidR="00F220E8">
          <w:rPr>
            <w:noProof/>
          </w:rPr>
          <w:t>19</w:t>
        </w:r>
        <w:r>
          <w:rPr>
            <w:noProof/>
          </w:rPr>
          <w:fldChar w:fldCharType="end"/>
        </w:r>
      </w:p>
    </w:sdtContent>
  </w:sdt>
  <w:p w14:paraId="4BF4F487" w14:textId="77777777" w:rsidR="006B7EC4" w:rsidRPr="000303C3" w:rsidRDefault="006B7EC4" w:rsidP="000303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1525030"/>
      <w:docPartObj>
        <w:docPartGallery w:val="Page Numbers (Bottom of Page)"/>
        <w:docPartUnique/>
      </w:docPartObj>
    </w:sdtPr>
    <w:sdtEndPr>
      <w:rPr>
        <w:noProof/>
      </w:rPr>
    </w:sdtEndPr>
    <w:sdtContent>
      <w:p w14:paraId="0C87B725" w14:textId="77777777" w:rsidR="000303C3" w:rsidRDefault="000303C3">
        <w:pPr>
          <w:pStyle w:val="Footer"/>
          <w:jc w:val="right"/>
        </w:pPr>
        <w:r>
          <w:fldChar w:fldCharType="begin"/>
        </w:r>
        <w:r>
          <w:instrText xml:space="preserve"> PAGE   \* MERGEFORMAT </w:instrText>
        </w:r>
        <w:r>
          <w:fldChar w:fldCharType="separate"/>
        </w:r>
        <w:r w:rsidR="00F220E8">
          <w:rPr>
            <w:noProof/>
          </w:rPr>
          <w:t>1</w:t>
        </w:r>
        <w:r>
          <w:rPr>
            <w:noProof/>
          </w:rPr>
          <w:fldChar w:fldCharType="end"/>
        </w:r>
      </w:p>
    </w:sdtContent>
  </w:sdt>
  <w:p w14:paraId="4D89ADB4" w14:textId="77777777" w:rsidR="000303C3" w:rsidRDefault="000303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06B2F9" w14:textId="77777777" w:rsidR="00816D87" w:rsidRPr="00D31C95" w:rsidRDefault="00816D87" w:rsidP="00D31C95">
      <w:pPr>
        <w:spacing w:after="0" w:line="240" w:lineRule="auto"/>
        <w:rPr>
          <w:color w:val="26567F" w:themeColor="accent1"/>
        </w:rPr>
      </w:pPr>
      <w:r w:rsidRPr="00D31C95">
        <w:rPr>
          <w:color w:val="26567F" w:themeColor="accent1"/>
        </w:rPr>
        <w:separator/>
      </w:r>
    </w:p>
    <w:p w14:paraId="430CE2AF" w14:textId="77777777" w:rsidR="00816D87" w:rsidRDefault="00816D87"/>
  </w:footnote>
  <w:footnote w:type="continuationSeparator" w:id="0">
    <w:p w14:paraId="0926C38F" w14:textId="77777777" w:rsidR="00816D87" w:rsidRPr="00D31C95" w:rsidRDefault="00816D87" w:rsidP="00D31C95">
      <w:pPr>
        <w:spacing w:after="0" w:line="240" w:lineRule="auto"/>
        <w:rPr>
          <w:color w:val="26567F" w:themeColor="accent1"/>
        </w:rPr>
      </w:pPr>
      <w:r w:rsidRPr="00D31C95">
        <w:rPr>
          <w:color w:val="26567F" w:themeColor="accent1"/>
        </w:rPr>
        <w:continuationSeparator/>
      </w:r>
    </w:p>
    <w:p w14:paraId="2F28E804" w14:textId="77777777" w:rsidR="00816D87" w:rsidRDefault="00816D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13E71" w14:textId="77777777" w:rsidR="00823EC0" w:rsidRPr="00823EC0" w:rsidRDefault="00472726" w:rsidP="00472726">
    <w:pPr>
      <w:pStyle w:val="Header"/>
      <w:tabs>
        <w:tab w:val="clear" w:pos="4513"/>
        <w:tab w:val="clear" w:pos="9026"/>
        <w:tab w:val="left" w:pos="668"/>
      </w:tabs>
    </w:pPr>
    <w:r>
      <w:rPr>
        <w:noProof/>
        <w:lang w:eastAsia="en-NZ"/>
      </w:rPr>
      <w:drawing>
        <wp:anchor distT="0" distB="0" distL="114300" distR="114300" simplePos="0" relativeHeight="251660288" behindDoc="1" locked="0" layoutInCell="1" allowOverlap="1" wp14:anchorId="1A376424" wp14:editId="5A09837B">
          <wp:simplePos x="0" y="0"/>
          <wp:positionH relativeFrom="column">
            <wp:posOffset>-720090</wp:posOffset>
          </wp:positionH>
          <wp:positionV relativeFrom="page">
            <wp:posOffset>0</wp:posOffset>
          </wp:positionV>
          <wp:extent cx="7586345" cy="1443355"/>
          <wp:effectExtent l="0" t="0" r="0" b="4445"/>
          <wp:wrapNone/>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logo&#10;&#10;Description automatically generated"/>
                  <pic:cNvPicPr>
                    <a:picLocks noChangeAspect="1"/>
                  </pic:cNvPicPr>
                </pic:nvPicPr>
                <pic:blipFill>
                  <a:blip r:embed="rId1"/>
                  <a:stretch>
                    <a:fillRect/>
                  </a:stretch>
                </pic:blipFill>
                <pic:spPr>
                  <a:xfrm>
                    <a:off x="0" y="0"/>
                    <a:ext cx="7586345" cy="14433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14460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02E8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FB018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3E54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58C8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A846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48D5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4A1E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1AB8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BE54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F32D2E"/>
    <w:multiLevelType w:val="hybridMultilevel"/>
    <w:tmpl w:val="58A2D9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5D6DA9"/>
    <w:multiLevelType w:val="multilevel"/>
    <w:tmpl w:val="64847B4C"/>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1141274B"/>
    <w:multiLevelType w:val="hybridMultilevel"/>
    <w:tmpl w:val="1A3E33A2"/>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15B20ECB"/>
    <w:multiLevelType w:val="hybridMultilevel"/>
    <w:tmpl w:val="7C2E85C0"/>
    <w:lvl w:ilvl="0" w:tplc="D0F60CB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F21AF6"/>
    <w:multiLevelType w:val="hybridMultilevel"/>
    <w:tmpl w:val="F3547024"/>
    <w:lvl w:ilvl="0" w:tplc="A2980BCE">
      <w:start w:val="8"/>
      <w:numFmt w:val="upperLetter"/>
      <w:lvlText w:val="%1."/>
      <w:lvlJc w:val="left"/>
      <w:pPr>
        <w:ind w:left="360" w:hanging="360"/>
      </w:pPr>
      <w:rPr>
        <w:rFonts w:hint="default"/>
        <w:b/>
        <w:bCs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1649146F"/>
    <w:multiLevelType w:val="hybridMultilevel"/>
    <w:tmpl w:val="90C69790"/>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1B276393"/>
    <w:multiLevelType w:val="multilevel"/>
    <w:tmpl w:val="76366166"/>
    <w:lvl w:ilvl="0">
      <w:start w:val="1"/>
      <w:numFmt w:val="bullet"/>
      <w:lvlText w:val=""/>
      <w:lvlJc w:val="left"/>
      <w:pPr>
        <w:ind w:left="360" w:hanging="360"/>
      </w:pPr>
      <w:rPr>
        <w:rFonts w:ascii="Symbol" w:hAnsi="Symbol" w:hint="default"/>
        <w:color w:val="3A9CAE"/>
      </w:rPr>
    </w:lvl>
    <w:lvl w:ilvl="1">
      <w:start w:val="1"/>
      <w:numFmt w:val="bullet"/>
      <w:lvlText w:val="»"/>
      <w:lvlJc w:val="left"/>
      <w:pPr>
        <w:tabs>
          <w:tab w:val="num" w:pos="680"/>
        </w:tabs>
        <w:ind w:left="680" w:hanging="340"/>
      </w:pPr>
      <w:rPr>
        <w:rFonts w:ascii="Times New Roman" w:hAnsi="Times New Roman" w:cs="Times New Roman" w:hint="default"/>
        <w:color w:val="26567F" w:themeColor="accent1"/>
        <w:sz w:val="22"/>
      </w:rPr>
    </w:lvl>
    <w:lvl w:ilvl="2">
      <w:start w:val="1"/>
      <w:numFmt w:val="bullet"/>
      <w:lvlText w:val="▪"/>
      <w:lvlJc w:val="left"/>
      <w:pPr>
        <w:tabs>
          <w:tab w:val="num" w:pos="1020"/>
        </w:tabs>
        <w:ind w:left="1020" w:hanging="340"/>
      </w:pPr>
      <w:rPr>
        <w:rFonts w:ascii="Times New Roman" w:hAnsi="Times New Roman" w:cs="Times New Roman" w:hint="default"/>
        <w:color w:val="26567F" w:themeColor="accent1"/>
      </w:rPr>
    </w:lvl>
    <w:lvl w:ilvl="3">
      <w:start w:val="1"/>
      <w:numFmt w:val="bullet"/>
      <w:lvlText w:val="»"/>
      <w:lvlJc w:val="left"/>
      <w:pPr>
        <w:tabs>
          <w:tab w:val="num" w:pos="1360"/>
        </w:tabs>
        <w:ind w:left="1360" w:hanging="340"/>
      </w:pPr>
      <w:rPr>
        <w:rFonts w:ascii="Times New Roman" w:hAnsi="Times New Roman" w:cs="Times New Roman" w:hint="default"/>
      </w:rPr>
    </w:lvl>
    <w:lvl w:ilvl="4">
      <w:start w:val="1"/>
      <w:numFmt w:val="bullet"/>
      <w:lvlText w:val="▪"/>
      <w:lvlJc w:val="left"/>
      <w:pPr>
        <w:tabs>
          <w:tab w:val="num" w:pos="1700"/>
        </w:tabs>
        <w:ind w:left="1700" w:hanging="340"/>
      </w:pPr>
      <w:rPr>
        <w:rFonts w:ascii="Times New Roman" w:hAnsi="Times New Roman" w:cs="Times New Roman" w:hint="default"/>
        <w:color w:val="auto"/>
      </w:rPr>
    </w:lvl>
    <w:lvl w:ilvl="5">
      <w:start w:val="1"/>
      <w:numFmt w:val="bullet"/>
      <w:lvlText w:val="•"/>
      <w:lvlJc w:val="left"/>
      <w:pPr>
        <w:tabs>
          <w:tab w:val="num" w:pos="2040"/>
        </w:tabs>
        <w:ind w:left="2040" w:hanging="340"/>
      </w:pPr>
      <w:rPr>
        <w:rFonts w:ascii="Calibri" w:hAnsi="Calibri" w:hint="default"/>
      </w:rPr>
    </w:lvl>
    <w:lvl w:ilvl="6">
      <w:start w:val="1"/>
      <w:numFmt w:val="bullet"/>
      <w:lvlText w:val="•"/>
      <w:lvlJc w:val="left"/>
      <w:pPr>
        <w:tabs>
          <w:tab w:val="num" w:pos="2380"/>
        </w:tabs>
        <w:ind w:left="2380" w:hanging="340"/>
      </w:pPr>
      <w:rPr>
        <w:rFonts w:ascii="Calibri" w:hAnsi="Calibri" w:hint="default"/>
      </w:rPr>
    </w:lvl>
    <w:lvl w:ilvl="7">
      <w:start w:val="1"/>
      <w:numFmt w:val="bullet"/>
      <w:lvlText w:val="•"/>
      <w:lvlJc w:val="left"/>
      <w:pPr>
        <w:tabs>
          <w:tab w:val="num" w:pos="2720"/>
        </w:tabs>
        <w:ind w:left="2720" w:hanging="340"/>
      </w:pPr>
      <w:rPr>
        <w:rFonts w:ascii="Calibri" w:hAnsi="Calibri" w:hint="default"/>
      </w:rPr>
    </w:lvl>
    <w:lvl w:ilvl="8">
      <w:start w:val="1"/>
      <w:numFmt w:val="bullet"/>
      <w:lvlText w:val="•"/>
      <w:lvlJc w:val="left"/>
      <w:pPr>
        <w:tabs>
          <w:tab w:val="num" w:pos="3060"/>
        </w:tabs>
        <w:ind w:left="3060" w:hanging="340"/>
      </w:pPr>
      <w:rPr>
        <w:rFonts w:ascii="Calibri" w:hAnsi="Calibri" w:hint="default"/>
      </w:rPr>
    </w:lvl>
  </w:abstractNum>
  <w:abstractNum w:abstractNumId="17" w15:restartNumberingAfterBreak="0">
    <w:nsid w:val="1BC80EF7"/>
    <w:multiLevelType w:val="hybridMultilevel"/>
    <w:tmpl w:val="33AA4C30"/>
    <w:lvl w:ilvl="0" w:tplc="14090015">
      <w:start w:val="1"/>
      <w:numFmt w:val="upp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24C6014B"/>
    <w:multiLevelType w:val="hybridMultilevel"/>
    <w:tmpl w:val="FBD48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6FC4A7A"/>
    <w:multiLevelType w:val="hybridMultilevel"/>
    <w:tmpl w:val="E7621E9E"/>
    <w:lvl w:ilvl="0" w:tplc="47BED3BC">
      <w:start w:val="12"/>
      <w:numFmt w:val="upperLetter"/>
      <w:lvlText w:val="%1."/>
      <w:lvlJc w:val="left"/>
      <w:pPr>
        <w:ind w:left="360" w:hanging="360"/>
      </w:pPr>
      <w:rPr>
        <w:rFonts w:hint="default"/>
        <w:b/>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2ED972F2"/>
    <w:multiLevelType w:val="hybridMultilevel"/>
    <w:tmpl w:val="7D98A456"/>
    <w:lvl w:ilvl="0" w:tplc="533CB2CA">
      <w:numFmt w:val="bullet"/>
      <w:lvlText w:val=""/>
      <w:lvlJc w:val="left"/>
      <w:pPr>
        <w:ind w:left="720" w:hanging="360"/>
      </w:pPr>
      <w:rPr>
        <w:rFonts w:ascii="Symbol" w:eastAsia="Calibr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FC97138"/>
    <w:multiLevelType w:val="hybridMultilevel"/>
    <w:tmpl w:val="D764DA42"/>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8B364E7"/>
    <w:multiLevelType w:val="hybridMultilevel"/>
    <w:tmpl w:val="69E28E62"/>
    <w:lvl w:ilvl="0" w:tplc="EC02880A">
      <w:start w:val="8"/>
      <w:numFmt w:val="upperLetter"/>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0A65903"/>
    <w:multiLevelType w:val="hybridMultilevel"/>
    <w:tmpl w:val="39D8616C"/>
    <w:lvl w:ilvl="0" w:tplc="235A9712">
      <w:start w:val="10"/>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55C1CE7"/>
    <w:multiLevelType w:val="hybridMultilevel"/>
    <w:tmpl w:val="408A831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46D47C78"/>
    <w:multiLevelType w:val="hybridMultilevel"/>
    <w:tmpl w:val="32601834"/>
    <w:lvl w:ilvl="0" w:tplc="1409000F">
      <w:start w:val="1"/>
      <w:numFmt w:val="decimal"/>
      <w:lvlText w:val="%1."/>
      <w:lvlJc w:val="left"/>
      <w:pPr>
        <w:ind w:left="36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6" w15:restartNumberingAfterBreak="0">
    <w:nsid w:val="48CC04AF"/>
    <w:multiLevelType w:val="hybridMultilevel"/>
    <w:tmpl w:val="D8EC52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A920ED2"/>
    <w:multiLevelType w:val="multilevel"/>
    <w:tmpl w:val="E5047296"/>
    <w:lvl w:ilvl="0">
      <w:start w:val="1"/>
      <w:numFmt w:val="bullet"/>
      <w:pStyle w:val="ListBullet"/>
      <w:lvlText w:val=""/>
      <w:lvlJc w:val="left"/>
      <w:pPr>
        <w:ind w:left="360" w:hanging="360"/>
      </w:pPr>
      <w:rPr>
        <w:rFonts w:ascii="Symbol" w:hAnsi="Symbol" w:hint="default"/>
        <w:color w:val="26567F"/>
      </w:rPr>
    </w:lvl>
    <w:lvl w:ilvl="1">
      <w:start w:val="1"/>
      <w:numFmt w:val="bullet"/>
      <w:lvlText w:val="»"/>
      <w:lvlJc w:val="left"/>
      <w:pPr>
        <w:tabs>
          <w:tab w:val="num" w:pos="680"/>
        </w:tabs>
        <w:ind w:left="680" w:hanging="340"/>
      </w:pPr>
      <w:rPr>
        <w:rFonts w:ascii="Times New Roman" w:hAnsi="Times New Roman" w:cs="Times New Roman" w:hint="default"/>
        <w:color w:val="26567F" w:themeColor="accent1"/>
        <w:sz w:val="22"/>
      </w:rPr>
    </w:lvl>
    <w:lvl w:ilvl="2">
      <w:start w:val="1"/>
      <w:numFmt w:val="bullet"/>
      <w:lvlText w:val="▪"/>
      <w:lvlJc w:val="left"/>
      <w:pPr>
        <w:tabs>
          <w:tab w:val="num" w:pos="1020"/>
        </w:tabs>
        <w:ind w:left="1020" w:hanging="340"/>
      </w:pPr>
      <w:rPr>
        <w:rFonts w:ascii="Times New Roman" w:hAnsi="Times New Roman" w:cs="Times New Roman" w:hint="default"/>
        <w:color w:val="26567F" w:themeColor="accent1"/>
      </w:rPr>
    </w:lvl>
    <w:lvl w:ilvl="3">
      <w:start w:val="1"/>
      <w:numFmt w:val="bullet"/>
      <w:lvlText w:val="»"/>
      <w:lvlJc w:val="left"/>
      <w:pPr>
        <w:tabs>
          <w:tab w:val="num" w:pos="1360"/>
        </w:tabs>
        <w:ind w:left="1360" w:hanging="340"/>
      </w:pPr>
      <w:rPr>
        <w:rFonts w:ascii="Times New Roman" w:hAnsi="Times New Roman" w:cs="Times New Roman" w:hint="default"/>
      </w:rPr>
    </w:lvl>
    <w:lvl w:ilvl="4">
      <w:start w:val="1"/>
      <w:numFmt w:val="bullet"/>
      <w:lvlText w:val="▪"/>
      <w:lvlJc w:val="left"/>
      <w:pPr>
        <w:tabs>
          <w:tab w:val="num" w:pos="1700"/>
        </w:tabs>
        <w:ind w:left="1700" w:hanging="340"/>
      </w:pPr>
      <w:rPr>
        <w:rFonts w:ascii="Times New Roman" w:hAnsi="Times New Roman" w:cs="Times New Roman" w:hint="default"/>
        <w:color w:val="auto"/>
      </w:rPr>
    </w:lvl>
    <w:lvl w:ilvl="5">
      <w:start w:val="1"/>
      <w:numFmt w:val="bullet"/>
      <w:lvlText w:val="•"/>
      <w:lvlJc w:val="left"/>
      <w:pPr>
        <w:tabs>
          <w:tab w:val="num" w:pos="2040"/>
        </w:tabs>
        <w:ind w:left="2040" w:hanging="340"/>
      </w:pPr>
      <w:rPr>
        <w:rFonts w:ascii="Calibri" w:hAnsi="Calibri" w:hint="default"/>
      </w:rPr>
    </w:lvl>
    <w:lvl w:ilvl="6">
      <w:start w:val="1"/>
      <w:numFmt w:val="bullet"/>
      <w:lvlText w:val="•"/>
      <w:lvlJc w:val="left"/>
      <w:pPr>
        <w:tabs>
          <w:tab w:val="num" w:pos="2380"/>
        </w:tabs>
        <w:ind w:left="2380" w:hanging="340"/>
      </w:pPr>
      <w:rPr>
        <w:rFonts w:ascii="Calibri" w:hAnsi="Calibri" w:hint="default"/>
      </w:rPr>
    </w:lvl>
    <w:lvl w:ilvl="7">
      <w:start w:val="1"/>
      <w:numFmt w:val="bullet"/>
      <w:lvlText w:val="•"/>
      <w:lvlJc w:val="left"/>
      <w:pPr>
        <w:tabs>
          <w:tab w:val="num" w:pos="2720"/>
        </w:tabs>
        <w:ind w:left="2720" w:hanging="340"/>
      </w:pPr>
      <w:rPr>
        <w:rFonts w:ascii="Calibri" w:hAnsi="Calibri" w:hint="default"/>
      </w:rPr>
    </w:lvl>
    <w:lvl w:ilvl="8">
      <w:start w:val="1"/>
      <w:numFmt w:val="bullet"/>
      <w:lvlText w:val="•"/>
      <w:lvlJc w:val="left"/>
      <w:pPr>
        <w:tabs>
          <w:tab w:val="num" w:pos="3060"/>
        </w:tabs>
        <w:ind w:left="3060" w:hanging="340"/>
      </w:pPr>
      <w:rPr>
        <w:rFonts w:ascii="Calibri" w:hAnsi="Calibri" w:hint="default"/>
      </w:rPr>
    </w:lvl>
  </w:abstractNum>
  <w:abstractNum w:abstractNumId="28" w15:restartNumberingAfterBreak="0">
    <w:nsid w:val="4C4B2F0A"/>
    <w:multiLevelType w:val="hybridMultilevel"/>
    <w:tmpl w:val="8266E72A"/>
    <w:lvl w:ilvl="0" w:tplc="14090015">
      <w:start w:val="13"/>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4C634497"/>
    <w:multiLevelType w:val="multilevel"/>
    <w:tmpl w:val="C8F61146"/>
    <w:lvl w:ilvl="0">
      <w:start w:val="1"/>
      <w:numFmt w:val="decimal"/>
      <w:pStyle w:val="ListNumber"/>
      <w:lvlText w:val="%1."/>
      <w:lvlJc w:val="left"/>
      <w:pPr>
        <w:tabs>
          <w:tab w:val="num" w:pos="340"/>
        </w:tabs>
        <w:ind w:left="340" w:hanging="340"/>
      </w:pPr>
      <w:rPr>
        <w:rFonts w:hint="default"/>
        <w:sz w:val="24"/>
      </w:rPr>
    </w:lvl>
    <w:lvl w:ilvl="1">
      <w:start w:val="1"/>
      <w:numFmt w:val="decimal"/>
      <w:pStyle w:val="ListNumber2"/>
      <w:lvlText w:val="%1.%2"/>
      <w:lvlJc w:val="left"/>
      <w:pPr>
        <w:tabs>
          <w:tab w:val="num" w:pos="851"/>
        </w:tabs>
        <w:ind w:left="851" w:hanging="511"/>
      </w:pPr>
      <w:rPr>
        <w:rFonts w:hint="default"/>
        <w:sz w:val="24"/>
      </w:rPr>
    </w:lvl>
    <w:lvl w:ilvl="2">
      <w:start w:val="1"/>
      <w:numFmt w:val="decimal"/>
      <w:pStyle w:val="ListNumber3"/>
      <w:lvlText w:val="%1.%2.%3"/>
      <w:lvlJc w:val="left"/>
      <w:pPr>
        <w:tabs>
          <w:tab w:val="num" w:pos="1588"/>
        </w:tabs>
        <w:ind w:left="1588" w:hanging="737"/>
      </w:pPr>
      <w:rPr>
        <w:rFonts w:hint="default"/>
        <w:sz w:val="24"/>
      </w:rPr>
    </w:lvl>
    <w:lvl w:ilvl="3">
      <w:start w:val="1"/>
      <w:numFmt w:val="decimal"/>
      <w:pStyle w:val="ListNumber4"/>
      <w:suff w:val="space"/>
      <w:lvlText w:val="%1.%2.%3.%4"/>
      <w:lvlJc w:val="left"/>
      <w:pPr>
        <w:ind w:left="1985" w:hanging="397"/>
      </w:pPr>
      <w:rPr>
        <w:rFonts w:hint="default"/>
      </w:rPr>
    </w:lvl>
    <w:lvl w:ilvl="4">
      <w:start w:val="1"/>
      <w:numFmt w:val="decimal"/>
      <w:pStyle w:val="ListNumber5"/>
      <w:suff w:val="space"/>
      <w:lvlText w:val="%1.%2.%3.%4.%5"/>
      <w:lvlJc w:val="left"/>
      <w:pPr>
        <w:ind w:left="2552" w:hanging="567"/>
      </w:pPr>
      <w:rPr>
        <w:rFonts w:hint="default"/>
      </w:rPr>
    </w:lvl>
    <w:lvl w:ilvl="5">
      <w:start w:val="1"/>
      <w:numFmt w:val="decimal"/>
      <w:suff w:val="space"/>
      <w:lvlText w:val="%1.%2.%3.%4.%5.%6"/>
      <w:lvlJc w:val="left"/>
      <w:pPr>
        <w:ind w:left="3119" w:hanging="567"/>
      </w:pPr>
      <w:rPr>
        <w:rFonts w:hint="default"/>
      </w:rPr>
    </w:lvl>
    <w:lvl w:ilvl="6">
      <w:start w:val="1"/>
      <w:numFmt w:val="decimal"/>
      <w:suff w:val="space"/>
      <w:lvlText w:val="%1.%2.%3.%4.%5.%6.%7"/>
      <w:lvlJc w:val="left"/>
      <w:pPr>
        <w:ind w:left="3686" w:hanging="567"/>
      </w:pPr>
      <w:rPr>
        <w:rFonts w:hint="default"/>
      </w:rPr>
    </w:lvl>
    <w:lvl w:ilvl="7">
      <w:start w:val="1"/>
      <w:numFmt w:val="decimal"/>
      <w:suff w:val="space"/>
      <w:lvlText w:val="%1.%2.%3.%4.%5.%6.%7.%8"/>
      <w:lvlJc w:val="left"/>
      <w:pPr>
        <w:ind w:left="4253" w:hanging="567"/>
      </w:pPr>
      <w:rPr>
        <w:rFonts w:hint="default"/>
      </w:rPr>
    </w:lvl>
    <w:lvl w:ilvl="8">
      <w:start w:val="1"/>
      <w:numFmt w:val="decimal"/>
      <w:suff w:val="space"/>
      <w:lvlText w:val="%1.%2.%3.%4.%5.%6.%7.%8.%9"/>
      <w:lvlJc w:val="left"/>
      <w:pPr>
        <w:ind w:left="4820" w:hanging="567"/>
      </w:pPr>
      <w:rPr>
        <w:rFonts w:hint="default"/>
      </w:rPr>
    </w:lvl>
  </w:abstractNum>
  <w:abstractNum w:abstractNumId="30" w15:restartNumberingAfterBreak="0">
    <w:nsid w:val="548F3AFF"/>
    <w:multiLevelType w:val="hybridMultilevel"/>
    <w:tmpl w:val="6BB69A0A"/>
    <w:lvl w:ilvl="0" w:tplc="65061C34">
      <w:start w:val="1"/>
      <w:numFmt w:val="upperLetter"/>
      <w:lvlText w:val="%1."/>
      <w:lvlJc w:val="left"/>
      <w:pPr>
        <w:ind w:left="360" w:hanging="360"/>
      </w:pPr>
      <w:rPr>
        <w:rFonts w:hint="default"/>
        <w:b/>
        <w:bCs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1" w15:restartNumberingAfterBreak="0">
    <w:nsid w:val="56775A85"/>
    <w:multiLevelType w:val="hybridMultilevel"/>
    <w:tmpl w:val="03A2BC64"/>
    <w:lvl w:ilvl="0" w:tplc="5376586A">
      <w:start w:val="1"/>
      <w:numFmt w:val="decimal"/>
      <w:lvlText w:val="%1."/>
      <w:lvlJc w:val="left"/>
      <w:pPr>
        <w:ind w:left="284" w:hanging="284"/>
      </w:pPr>
      <w:rPr>
        <w:rFonts w:hint="default"/>
      </w:rPr>
    </w:lvl>
    <w:lvl w:ilvl="1" w:tplc="6C72E4CC">
      <w:start w:val="1"/>
      <w:numFmt w:val="lowerLetter"/>
      <w:lvlText w:val="%2."/>
      <w:lvlJc w:val="left"/>
      <w:pPr>
        <w:ind w:left="567" w:hanging="283"/>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5AE60558"/>
    <w:multiLevelType w:val="hybridMultilevel"/>
    <w:tmpl w:val="9B5CB7F6"/>
    <w:lvl w:ilvl="0" w:tplc="4208AB9A">
      <w:start w:val="8"/>
      <w:numFmt w:val="upperLetter"/>
      <w:lvlText w:val="%1."/>
      <w:lvlJc w:val="left"/>
      <w:pPr>
        <w:ind w:left="360" w:hanging="360"/>
      </w:pPr>
      <w:rPr>
        <w:rFonts w:hint="default"/>
        <w:b/>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66093EC9"/>
    <w:multiLevelType w:val="hybridMultilevel"/>
    <w:tmpl w:val="E5F6B356"/>
    <w:lvl w:ilvl="0" w:tplc="14090015">
      <w:start w:val="12"/>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6745112A"/>
    <w:multiLevelType w:val="hybridMultilevel"/>
    <w:tmpl w:val="67128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D505BEC"/>
    <w:multiLevelType w:val="hybridMultilevel"/>
    <w:tmpl w:val="52E0EAF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6E4E0708"/>
    <w:multiLevelType w:val="multilevel"/>
    <w:tmpl w:val="B2B2DF6C"/>
    <w:lvl w:ilvl="0">
      <w:start w:val="1"/>
      <w:numFmt w:val="bullet"/>
      <w:lvlText w:val=""/>
      <w:lvlJc w:val="left"/>
      <w:pPr>
        <w:ind w:left="360" w:hanging="360"/>
      </w:pPr>
      <w:rPr>
        <w:rFonts w:ascii="Symbol" w:hAnsi="Symbol" w:hint="default"/>
        <w:color w:val="51789F"/>
      </w:rPr>
    </w:lvl>
    <w:lvl w:ilvl="1">
      <w:start w:val="1"/>
      <w:numFmt w:val="bullet"/>
      <w:pStyle w:val="ListBullet2"/>
      <w:lvlText w:val=""/>
      <w:lvlJc w:val="left"/>
      <w:pPr>
        <w:ind w:left="700" w:hanging="360"/>
      </w:pPr>
      <w:rPr>
        <w:rFonts w:ascii="Symbol" w:hAnsi="Symbol" w:hint="default"/>
        <w:color w:val="979AA0"/>
        <w:sz w:val="22"/>
      </w:rPr>
    </w:lvl>
    <w:lvl w:ilvl="2">
      <w:start w:val="1"/>
      <w:numFmt w:val="bullet"/>
      <w:pStyle w:val="ListBullet3"/>
      <w:lvlText w:val="▪"/>
      <w:lvlJc w:val="left"/>
      <w:pPr>
        <w:tabs>
          <w:tab w:val="num" w:pos="1020"/>
        </w:tabs>
        <w:ind w:left="1020" w:hanging="340"/>
      </w:pPr>
      <w:rPr>
        <w:rFonts w:ascii="Times New Roman" w:hAnsi="Times New Roman" w:cs="Times New Roman" w:hint="default"/>
        <w:color w:val="26567F" w:themeColor="accent1"/>
      </w:rPr>
    </w:lvl>
    <w:lvl w:ilvl="3">
      <w:start w:val="1"/>
      <w:numFmt w:val="bullet"/>
      <w:pStyle w:val="ListBullet4"/>
      <w:lvlText w:val="»"/>
      <w:lvlJc w:val="left"/>
      <w:pPr>
        <w:tabs>
          <w:tab w:val="num" w:pos="1360"/>
        </w:tabs>
        <w:ind w:left="1360" w:hanging="340"/>
      </w:pPr>
      <w:rPr>
        <w:rFonts w:ascii="Times New Roman" w:hAnsi="Times New Roman" w:cs="Times New Roman" w:hint="default"/>
      </w:rPr>
    </w:lvl>
    <w:lvl w:ilvl="4">
      <w:start w:val="1"/>
      <w:numFmt w:val="bullet"/>
      <w:pStyle w:val="ListBullet5"/>
      <w:lvlText w:val="▪"/>
      <w:lvlJc w:val="left"/>
      <w:pPr>
        <w:tabs>
          <w:tab w:val="num" w:pos="1700"/>
        </w:tabs>
        <w:ind w:left="1700" w:hanging="340"/>
      </w:pPr>
      <w:rPr>
        <w:rFonts w:ascii="Times New Roman" w:hAnsi="Times New Roman" w:cs="Times New Roman" w:hint="default"/>
        <w:color w:val="auto"/>
      </w:rPr>
    </w:lvl>
    <w:lvl w:ilvl="5">
      <w:start w:val="1"/>
      <w:numFmt w:val="bullet"/>
      <w:lvlText w:val="•"/>
      <w:lvlJc w:val="left"/>
      <w:pPr>
        <w:tabs>
          <w:tab w:val="num" w:pos="2040"/>
        </w:tabs>
        <w:ind w:left="2040" w:hanging="340"/>
      </w:pPr>
      <w:rPr>
        <w:rFonts w:ascii="Calibri" w:hAnsi="Calibri" w:hint="default"/>
      </w:rPr>
    </w:lvl>
    <w:lvl w:ilvl="6">
      <w:start w:val="1"/>
      <w:numFmt w:val="bullet"/>
      <w:lvlText w:val="•"/>
      <w:lvlJc w:val="left"/>
      <w:pPr>
        <w:tabs>
          <w:tab w:val="num" w:pos="2380"/>
        </w:tabs>
        <w:ind w:left="2380" w:hanging="340"/>
      </w:pPr>
      <w:rPr>
        <w:rFonts w:ascii="Calibri" w:hAnsi="Calibri" w:hint="default"/>
      </w:rPr>
    </w:lvl>
    <w:lvl w:ilvl="7">
      <w:start w:val="1"/>
      <w:numFmt w:val="bullet"/>
      <w:lvlText w:val="•"/>
      <w:lvlJc w:val="left"/>
      <w:pPr>
        <w:tabs>
          <w:tab w:val="num" w:pos="2720"/>
        </w:tabs>
        <w:ind w:left="2720" w:hanging="340"/>
      </w:pPr>
      <w:rPr>
        <w:rFonts w:ascii="Calibri" w:hAnsi="Calibri" w:hint="default"/>
      </w:rPr>
    </w:lvl>
    <w:lvl w:ilvl="8">
      <w:start w:val="1"/>
      <w:numFmt w:val="bullet"/>
      <w:lvlText w:val="•"/>
      <w:lvlJc w:val="left"/>
      <w:pPr>
        <w:tabs>
          <w:tab w:val="num" w:pos="3060"/>
        </w:tabs>
        <w:ind w:left="3060" w:hanging="340"/>
      </w:pPr>
      <w:rPr>
        <w:rFonts w:ascii="Calibri" w:hAnsi="Calibri" w:hint="default"/>
      </w:rPr>
    </w:lvl>
  </w:abstractNum>
  <w:abstractNum w:abstractNumId="37" w15:restartNumberingAfterBreak="0">
    <w:nsid w:val="71C96AB3"/>
    <w:multiLevelType w:val="hybridMultilevel"/>
    <w:tmpl w:val="D30851D8"/>
    <w:lvl w:ilvl="0" w:tplc="36420BB4">
      <w:start w:val="1"/>
      <w:numFmt w:val="decimal"/>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30A1AB6"/>
    <w:multiLevelType w:val="hybridMultilevel"/>
    <w:tmpl w:val="F2EE3A80"/>
    <w:lvl w:ilvl="0" w:tplc="533CB2CA">
      <w:numFmt w:val="bullet"/>
      <w:lvlText w:val=""/>
      <w:lvlJc w:val="left"/>
      <w:pPr>
        <w:ind w:left="720" w:hanging="360"/>
      </w:pPr>
      <w:rPr>
        <w:rFonts w:ascii="Symbol" w:eastAsia="Calibri" w:hAnsi="Symbol"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3705490"/>
    <w:multiLevelType w:val="hybridMultilevel"/>
    <w:tmpl w:val="ADA29BE0"/>
    <w:lvl w:ilvl="0" w:tplc="533CB2CA">
      <w:numFmt w:val="bullet"/>
      <w:lvlText w:val=""/>
      <w:lvlJc w:val="left"/>
      <w:pPr>
        <w:ind w:left="720" w:hanging="360"/>
      </w:pPr>
      <w:rPr>
        <w:rFonts w:ascii="Symbol" w:eastAsia="Calibr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8F80810"/>
    <w:multiLevelType w:val="multilevel"/>
    <w:tmpl w:val="D8889B72"/>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15:restartNumberingAfterBreak="0">
    <w:nsid w:val="7C1C0D04"/>
    <w:multiLevelType w:val="hybridMultilevel"/>
    <w:tmpl w:val="07AA646E"/>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7FDF592F"/>
    <w:multiLevelType w:val="multilevel"/>
    <w:tmpl w:val="0D9A4B0C"/>
    <w:lvl w:ilvl="0">
      <w:start w:val="1"/>
      <w:numFmt w:val="bullet"/>
      <w:lvlText w:val=""/>
      <w:lvlJc w:val="left"/>
      <w:pPr>
        <w:tabs>
          <w:tab w:val="num" w:pos="340"/>
        </w:tabs>
        <w:ind w:left="340" w:hanging="340"/>
      </w:pPr>
      <w:rPr>
        <w:rFonts w:ascii="Wingdings" w:hAnsi="Wingdings" w:hint="default"/>
        <w:color w:val="26567F" w:themeColor="accent1"/>
      </w:rPr>
    </w:lvl>
    <w:lvl w:ilvl="1">
      <w:start w:val="1"/>
      <w:numFmt w:val="bullet"/>
      <w:lvlText w:val="»"/>
      <w:lvlJc w:val="left"/>
      <w:pPr>
        <w:tabs>
          <w:tab w:val="num" w:pos="680"/>
        </w:tabs>
        <w:ind w:left="680" w:hanging="340"/>
      </w:pPr>
      <w:rPr>
        <w:rFonts w:ascii="Times New Roman" w:hAnsi="Times New Roman" w:cs="Times New Roman" w:hint="default"/>
        <w:color w:val="26567F" w:themeColor="accent1"/>
        <w:sz w:val="22"/>
      </w:rPr>
    </w:lvl>
    <w:lvl w:ilvl="2">
      <w:start w:val="1"/>
      <w:numFmt w:val="bullet"/>
      <w:lvlText w:val="▪"/>
      <w:lvlJc w:val="left"/>
      <w:pPr>
        <w:tabs>
          <w:tab w:val="num" w:pos="1020"/>
        </w:tabs>
        <w:ind w:left="1020" w:hanging="340"/>
      </w:pPr>
      <w:rPr>
        <w:rFonts w:ascii="Times New Roman" w:hAnsi="Times New Roman" w:cs="Times New Roman" w:hint="default"/>
        <w:color w:val="26567F" w:themeColor="accent1"/>
      </w:rPr>
    </w:lvl>
    <w:lvl w:ilvl="3">
      <w:start w:val="1"/>
      <w:numFmt w:val="bullet"/>
      <w:lvlText w:val="»"/>
      <w:lvlJc w:val="left"/>
      <w:pPr>
        <w:tabs>
          <w:tab w:val="num" w:pos="1360"/>
        </w:tabs>
        <w:ind w:left="1360" w:hanging="340"/>
      </w:pPr>
      <w:rPr>
        <w:rFonts w:ascii="Times New Roman" w:hAnsi="Times New Roman" w:cs="Times New Roman" w:hint="default"/>
      </w:rPr>
    </w:lvl>
    <w:lvl w:ilvl="4">
      <w:start w:val="1"/>
      <w:numFmt w:val="bullet"/>
      <w:lvlText w:val="▪"/>
      <w:lvlJc w:val="left"/>
      <w:pPr>
        <w:tabs>
          <w:tab w:val="num" w:pos="1700"/>
        </w:tabs>
        <w:ind w:left="1700" w:hanging="340"/>
      </w:pPr>
      <w:rPr>
        <w:rFonts w:ascii="Times New Roman" w:hAnsi="Times New Roman" w:cs="Times New Roman" w:hint="default"/>
        <w:color w:val="auto"/>
      </w:rPr>
    </w:lvl>
    <w:lvl w:ilvl="5">
      <w:start w:val="1"/>
      <w:numFmt w:val="bullet"/>
      <w:lvlText w:val="•"/>
      <w:lvlJc w:val="left"/>
      <w:pPr>
        <w:tabs>
          <w:tab w:val="num" w:pos="2040"/>
        </w:tabs>
        <w:ind w:left="2040" w:hanging="340"/>
      </w:pPr>
      <w:rPr>
        <w:rFonts w:ascii="Calibri" w:hAnsi="Calibri" w:hint="default"/>
      </w:rPr>
    </w:lvl>
    <w:lvl w:ilvl="6">
      <w:start w:val="1"/>
      <w:numFmt w:val="bullet"/>
      <w:lvlText w:val="•"/>
      <w:lvlJc w:val="left"/>
      <w:pPr>
        <w:tabs>
          <w:tab w:val="num" w:pos="2380"/>
        </w:tabs>
        <w:ind w:left="2380" w:hanging="340"/>
      </w:pPr>
      <w:rPr>
        <w:rFonts w:ascii="Calibri" w:hAnsi="Calibri" w:hint="default"/>
      </w:rPr>
    </w:lvl>
    <w:lvl w:ilvl="7">
      <w:start w:val="1"/>
      <w:numFmt w:val="bullet"/>
      <w:lvlText w:val="•"/>
      <w:lvlJc w:val="left"/>
      <w:pPr>
        <w:tabs>
          <w:tab w:val="num" w:pos="2720"/>
        </w:tabs>
        <w:ind w:left="2720" w:hanging="340"/>
      </w:pPr>
      <w:rPr>
        <w:rFonts w:ascii="Calibri" w:hAnsi="Calibri" w:hint="default"/>
      </w:rPr>
    </w:lvl>
    <w:lvl w:ilvl="8">
      <w:start w:val="1"/>
      <w:numFmt w:val="bullet"/>
      <w:lvlText w:val="•"/>
      <w:lvlJc w:val="left"/>
      <w:pPr>
        <w:tabs>
          <w:tab w:val="num" w:pos="3060"/>
        </w:tabs>
        <w:ind w:left="3060" w:hanging="340"/>
      </w:pPr>
      <w:rPr>
        <w:rFonts w:ascii="Calibri" w:hAnsi="Calibri"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2"/>
  </w:num>
  <w:num w:numId="12">
    <w:abstractNumId w:val="29"/>
  </w:num>
  <w:num w:numId="13">
    <w:abstractNumId w:val="13"/>
  </w:num>
  <w:num w:numId="14">
    <w:abstractNumId w:val="24"/>
  </w:num>
  <w:num w:numId="15">
    <w:abstractNumId w:val="26"/>
  </w:num>
  <w:num w:numId="16">
    <w:abstractNumId w:val="35"/>
  </w:num>
  <w:num w:numId="17">
    <w:abstractNumId w:val="31"/>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29"/>
  </w:num>
  <w:num w:numId="21">
    <w:abstractNumId w:val="42"/>
  </w:num>
  <w:num w:numId="22">
    <w:abstractNumId w:val="29"/>
  </w:num>
  <w:num w:numId="23">
    <w:abstractNumId w:val="29"/>
  </w:num>
  <w:num w:numId="24">
    <w:abstractNumId w:val="16"/>
  </w:num>
  <w:num w:numId="25">
    <w:abstractNumId w:val="27"/>
  </w:num>
  <w:num w:numId="26">
    <w:abstractNumId w:val="36"/>
  </w:num>
  <w:num w:numId="27">
    <w:abstractNumId w:val="10"/>
  </w:num>
  <w:num w:numId="28">
    <w:abstractNumId w:val="18"/>
  </w:num>
  <w:num w:numId="29">
    <w:abstractNumId w:val="37"/>
  </w:num>
  <w:num w:numId="30">
    <w:abstractNumId w:val="11"/>
  </w:num>
  <w:num w:numId="31">
    <w:abstractNumId w:val="40"/>
  </w:num>
  <w:num w:numId="32">
    <w:abstractNumId w:val="23"/>
  </w:num>
  <w:num w:numId="33">
    <w:abstractNumId w:val="29"/>
    <w:lvlOverride w:ilvl="0">
      <w:startOverride w:val="5"/>
    </w:lvlOverride>
  </w:num>
  <w:num w:numId="34">
    <w:abstractNumId w:val="34"/>
  </w:num>
  <w:num w:numId="35">
    <w:abstractNumId w:val="21"/>
  </w:num>
  <w:num w:numId="36">
    <w:abstractNumId w:val="41"/>
  </w:num>
  <w:num w:numId="37">
    <w:abstractNumId w:val="15"/>
  </w:num>
  <w:num w:numId="38">
    <w:abstractNumId w:val="20"/>
  </w:num>
  <w:num w:numId="39">
    <w:abstractNumId w:val="38"/>
  </w:num>
  <w:num w:numId="40">
    <w:abstractNumId w:val="39"/>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30"/>
  </w:num>
  <w:num w:numId="44">
    <w:abstractNumId w:val="28"/>
  </w:num>
  <w:num w:numId="45">
    <w:abstractNumId w:val="14"/>
  </w:num>
  <w:num w:numId="46">
    <w:abstractNumId w:val="33"/>
  </w:num>
  <w:num w:numId="47">
    <w:abstractNumId w:val="17"/>
  </w:num>
  <w:num w:numId="48">
    <w:abstractNumId w:val="22"/>
  </w:num>
  <w:num w:numId="49">
    <w:abstractNumId w:val="32"/>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67"/>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DB9"/>
    <w:rsid w:val="000041C9"/>
    <w:rsid w:val="000165A8"/>
    <w:rsid w:val="00017384"/>
    <w:rsid w:val="000220A1"/>
    <w:rsid w:val="00022396"/>
    <w:rsid w:val="00023578"/>
    <w:rsid w:val="00023BF5"/>
    <w:rsid w:val="00025AB6"/>
    <w:rsid w:val="000303C3"/>
    <w:rsid w:val="00032085"/>
    <w:rsid w:val="000412E1"/>
    <w:rsid w:val="000526C9"/>
    <w:rsid w:val="00052C52"/>
    <w:rsid w:val="00052D65"/>
    <w:rsid w:val="000543B9"/>
    <w:rsid w:val="00071B0D"/>
    <w:rsid w:val="0007589F"/>
    <w:rsid w:val="00076B63"/>
    <w:rsid w:val="00086897"/>
    <w:rsid w:val="00087386"/>
    <w:rsid w:val="000924D7"/>
    <w:rsid w:val="0009750C"/>
    <w:rsid w:val="000A5103"/>
    <w:rsid w:val="000B71D1"/>
    <w:rsid w:val="000C01AC"/>
    <w:rsid w:val="000C121F"/>
    <w:rsid w:val="000D16DC"/>
    <w:rsid w:val="000D7DAD"/>
    <w:rsid w:val="000F219A"/>
    <w:rsid w:val="000F32D0"/>
    <w:rsid w:val="00105982"/>
    <w:rsid w:val="001150B3"/>
    <w:rsid w:val="00117AF9"/>
    <w:rsid w:val="001415BC"/>
    <w:rsid w:val="00151CF1"/>
    <w:rsid w:val="001536FB"/>
    <w:rsid w:val="00172440"/>
    <w:rsid w:val="00181746"/>
    <w:rsid w:val="00181C50"/>
    <w:rsid w:val="00182BDB"/>
    <w:rsid w:val="00195C5B"/>
    <w:rsid w:val="001A0A40"/>
    <w:rsid w:val="001A2BF1"/>
    <w:rsid w:val="001A37EB"/>
    <w:rsid w:val="001A6983"/>
    <w:rsid w:val="001B121A"/>
    <w:rsid w:val="001B311B"/>
    <w:rsid w:val="001B4AE5"/>
    <w:rsid w:val="001B5215"/>
    <w:rsid w:val="001B7228"/>
    <w:rsid w:val="001B79E2"/>
    <w:rsid w:val="001B7C27"/>
    <w:rsid w:val="001C13FB"/>
    <w:rsid w:val="001C57DC"/>
    <w:rsid w:val="001D3AC4"/>
    <w:rsid w:val="001D5A28"/>
    <w:rsid w:val="001E27D0"/>
    <w:rsid w:val="001F6763"/>
    <w:rsid w:val="001F70ED"/>
    <w:rsid w:val="002038E1"/>
    <w:rsid w:val="0020403F"/>
    <w:rsid w:val="00213E1D"/>
    <w:rsid w:val="00220613"/>
    <w:rsid w:val="002231DD"/>
    <w:rsid w:val="00225B68"/>
    <w:rsid w:val="002267B4"/>
    <w:rsid w:val="00226825"/>
    <w:rsid w:val="00230D4A"/>
    <w:rsid w:val="002311CF"/>
    <w:rsid w:val="002332AB"/>
    <w:rsid w:val="00235896"/>
    <w:rsid w:val="00246BF7"/>
    <w:rsid w:val="002476C2"/>
    <w:rsid w:val="00252BCD"/>
    <w:rsid w:val="00263478"/>
    <w:rsid w:val="00267F01"/>
    <w:rsid w:val="0027347C"/>
    <w:rsid w:val="00277B42"/>
    <w:rsid w:val="00277D95"/>
    <w:rsid w:val="00282B70"/>
    <w:rsid w:val="00287552"/>
    <w:rsid w:val="00287A1C"/>
    <w:rsid w:val="0029040D"/>
    <w:rsid w:val="002A252F"/>
    <w:rsid w:val="002A4ABB"/>
    <w:rsid w:val="002A57A3"/>
    <w:rsid w:val="002B07DD"/>
    <w:rsid w:val="002B1261"/>
    <w:rsid w:val="002B35F3"/>
    <w:rsid w:val="002B50B2"/>
    <w:rsid w:val="002B63AD"/>
    <w:rsid w:val="002C0EBC"/>
    <w:rsid w:val="002C55EF"/>
    <w:rsid w:val="002C6179"/>
    <w:rsid w:val="002C7B8B"/>
    <w:rsid w:val="002D449D"/>
    <w:rsid w:val="002E4626"/>
    <w:rsid w:val="002F2C9A"/>
    <w:rsid w:val="0030284F"/>
    <w:rsid w:val="00303A47"/>
    <w:rsid w:val="003074B7"/>
    <w:rsid w:val="003127DE"/>
    <w:rsid w:val="00314322"/>
    <w:rsid w:val="0032393A"/>
    <w:rsid w:val="003246EB"/>
    <w:rsid w:val="00330A43"/>
    <w:rsid w:val="00344898"/>
    <w:rsid w:val="003505B1"/>
    <w:rsid w:val="00353050"/>
    <w:rsid w:val="003624BF"/>
    <w:rsid w:val="00362DC3"/>
    <w:rsid w:val="0036510F"/>
    <w:rsid w:val="003670FE"/>
    <w:rsid w:val="00373E8E"/>
    <w:rsid w:val="003B2CEE"/>
    <w:rsid w:val="003B3DD9"/>
    <w:rsid w:val="003C1A67"/>
    <w:rsid w:val="003C3B61"/>
    <w:rsid w:val="003C57AB"/>
    <w:rsid w:val="003E1D14"/>
    <w:rsid w:val="003E1D5D"/>
    <w:rsid w:val="003E2CF1"/>
    <w:rsid w:val="003E640A"/>
    <w:rsid w:val="003F44A8"/>
    <w:rsid w:val="003F4C72"/>
    <w:rsid w:val="00412CBB"/>
    <w:rsid w:val="00414600"/>
    <w:rsid w:val="0041524D"/>
    <w:rsid w:val="00416DEB"/>
    <w:rsid w:val="00421181"/>
    <w:rsid w:val="00423323"/>
    <w:rsid w:val="004236C7"/>
    <w:rsid w:val="0043348F"/>
    <w:rsid w:val="004335F7"/>
    <w:rsid w:val="004507AD"/>
    <w:rsid w:val="00455B6B"/>
    <w:rsid w:val="00457F31"/>
    <w:rsid w:val="00472726"/>
    <w:rsid w:val="0047276B"/>
    <w:rsid w:val="00472924"/>
    <w:rsid w:val="00473719"/>
    <w:rsid w:val="00474D1D"/>
    <w:rsid w:val="0047583C"/>
    <w:rsid w:val="00486622"/>
    <w:rsid w:val="00486640"/>
    <w:rsid w:val="00486A3C"/>
    <w:rsid w:val="00491FDC"/>
    <w:rsid w:val="004955C8"/>
    <w:rsid w:val="004A0C7B"/>
    <w:rsid w:val="004A41DF"/>
    <w:rsid w:val="004A73C3"/>
    <w:rsid w:val="004A73F3"/>
    <w:rsid w:val="004B4740"/>
    <w:rsid w:val="004C216B"/>
    <w:rsid w:val="004C4482"/>
    <w:rsid w:val="004C57F0"/>
    <w:rsid w:val="004C7A9B"/>
    <w:rsid w:val="004D09D9"/>
    <w:rsid w:val="004D27D4"/>
    <w:rsid w:val="004D78EF"/>
    <w:rsid w:val="004F1050"/>
    <w:rsid w:val="004F1BFE"/>
    <w:rsid w:val="004F35FB"/>
    <w:rsid w:val="004F3621"/>
    <w:rsid w:val="004F3F4A"/>
    <w:rsid w:val="005005D4"/>
    <w:rsid w:val="0050396B"/>
    <w:rsid w:val="00504D5A"/>
    <w:rsid w:val="005063D9"/>
    <w:rsid w:val="00510433"/>
    <w:rsid w:val="005114CD"/>
    <w:rsid w:val="00512982"/>
    <w:rsid w:val="005224C4"/>
    <w:rsid w:val="00525FBB"/>
    <w:rsid w:val="005267B2"/>
    <w:rsid w:val="00534E90"/>
    <w:rsid w:val="0053614D"/>
    <w:rsid w:val="00540812"/>
    <w:rsid w:val="0054724F"/>
    <w:rsid w:val="00553039"/>
    <w:rsid w:val="005553FF"/>
    <w:rsid w:val="005628D6"/>
    <w:rsid w:val="00566AB6"/>
    <w:rsid w:val="005720D8"/>
    <w:rsid w:val="0057262B"/>
    <w:rsid w:val="0058407C"/>
    <w:rsid w:val="00587396"/>
    <w:rsid w:val="00587AF5"/>
    <w:rsid w:val="00592133"/>
    <w:rsid w:val="00593BDE"/>
    <w:rsid w:val="00596DCB"/>
    <w:rsid w:val="005976F7"/>
    <w:rsid w:val="005A2248"/>
    <w:rsid w:val="005A37FD"/>
    <w:rsid w:val="005B7314"/>
    <w:rsid w:val="005C108F"/>
    <w:rsid w:val="005C50A8"/>
    <w:rsid w:val="005E7E1E"/>
    <w:rsid w:val="005F3447"/>
    <w:rsid w:val="005F4572"/>
    <w:rsid w:val="005F5D32"/>
    <w:rsid w:val="00600133"/>
    <w:rsid w:val="00601B76"/>
    <w:rsid w:val="00602AA3"/>
    <w:rsid w:val="00606057"/>
    <w:rsid w:val="00611479"/>
    <w:rsid w:val="00614BC8"/>
    <w:rsid w:val="00614C8C"/>
    <w:rsid w:val="0063146B"/>
    <w:rsid w:val="00635B25"/>
    <w:rsid w:val="0065336F"/>
    <w:rsid w:val="00654E3A"/>
    <w:rsid w:val="0066118B"/>
    <w:rsid w:val="00666633"/>
    <w:rsid w:val="0067706C"/>
    <w:rsid w:val="0068453F"/>
    <w:rsid w:val="00692474"/>
    <w:rsid w:val="00692965"/>
    <w:rsid w:val="006A6AE6"/>
    <w:rsid w:val="006B7EC4"/>
    <w:rsid w:val="006C1EFD"/>
    <w:rsid w:val="006C2C6F"/>
    <w:rsid w:val="006C4584"/>
    <w:rsid w:val="006C7D41"/>
    <w:rsid w:val="006D4D50"/>
    <w:rsid w:val="006E0808"/>
    <w:rsid w:val="006E1F0B"/>
    <w:rsid w:val="006E3411"/>
    <w:rsid w:val="006E64E1"/>
    <w:rsid w:val="006F0AB9"/>
    <w:rsid w:val="006F38EF"/>
    <w:rsid w:val="006F3A83"/>
    <w:rsid w:val="006F40B5"/>
    <w:rsid w:val="006F4313"/>
    <w:rsid w:val="006F51E8"/>
    <w:rsid w:val="006F5B5B"/>
    <w:rsid w:val="006F6F15"/>
    <w:rsid w:val="00700CF2"/>
    <w:rsid w:val="00706115"/>
    <w:rsid w:val="00707384"/>
    <w:rsid w:val="007130CE"/>
    <w:rsid w:val="00714277"/>
    <w:rsid w:val="00715D5A"/>
    <w:rsid w:val="00715E2E"/>
    <w:rsid w:val="00734009"/>
    <w:rsid w:val="007344EA"/>
    <w:rsid w:val="00744608"/>
    <w:rsid w:val="00747316"/>
    <w:rsid w:val="00750525"/>
    <w:rsid w:val="00752F65"/>
    <w:rsid w:val="00754955"/>
    <w:rsid w:val="00757306"/>
    <w:rsid w:val="00776EB4"/>
    <w:rsid w:val="00781BD8"/>
    <w:rsid w:val="0078519A"/>
    <w:rsid w:val="00785A81"/>
    <w:rsid w:val="00786C1C"/>
    <w:rsid w:val="00797113"/>
    <w:rsid w:val="007A5BFA"/>
    <w:rsid w:val="007A5DCF"/>
    <w:rsid w:val="007B0438"/>
    <w:rsid w:val="007B2BBA"/>
    <w:rsid w:val="007C2D07"/>
    <w:rsid w:val="007D35D0"/>
    <w:rsid w:val="007D3A06"/>
    <w:rsid w:val="007D41D3"/>
    <w:rsid w:val="007E2F92"/>
    <w:rsid w:val="007E4661"/>
    <w:rsid w:val="00801625"/>
    <w:rsid w:val="00803DC8"/>
    <w:rsid w:val="00806591"/>
    <w:rsid w:val="008136EF"/>
    <w:rsid w:val="00816D87"/>
    <w:rsid w:val="00823EC0"/>
    <w:rsid w:val="0082531E"/>
    <w:rsid w:val="0082555A"/>
    <w:rsid w:val="00830DF5"/>
    <w:rsid w:val="00841C5B"/>
    <w:rsid w:val="008479DB"/>
    <w:rsid w:val="008513C2"/>
    <w:rsid w:val="00852EE8"/>
    <w:rsid w:val="00885713"/>
    <w:rsid w:val="00887562"/>
    <w:rsid w:val="0089214F"/>
    <w:rsid w:val="00893562"/>
    <w:rsid w:val="00895BC5"/>
    <w:rsid w:val="008966C2"/>
    <w:rsid w:val="008A138E"/>
    <w:rsid w:val="008A1F89"/>
    <w:rsid w:val="008B0158"/>
    <w:rsid w:val="008B197D"/>
    <w:rsid w:val="008B1C5D"/>
    <w:rsid w:val="008B27E2"/>
    <w:rsid w:val="008B42E3"/>
    <w:rsid w:val="008B60FC"/>
    <w:rsid w:val="008C10A6"/>
    <w:rsid w:val="008C2872"/>
    <w:rsid w:val="008D38C4"/>
    <w:rsid w:val="008E1E94"/>
    <w:rsid w:val="008F1D10"/>
    <w:rsid w:val="008F3217"/>
    <w:rsid w:val="008F79BF"/>
    <w:rsid w:val="008F7DCE"/>
    <w:rsid w:val="009114EE"/>
    <w:rsid w:val="00930B09"/>
    <w:rsid w:val="00931778"/>
    <w:rsid w:val="009338F3"/>
    <w:rsid w:val="00941981"/>
    <w:rsid w:val="00941EA5"/>
    <w:rsid w:val="009433DD"/>
    <w:rsid w:val="00944080"/>
    <w:rsid w:val="00944AB4"/>
    <w:rsid w:val="00950A5C"/>
    <w:rsid w:val="009616A2"/>
    <w:rsid w:val="009631CA"/>
    <w:rsid w:val="0096780E"/>
    <w:rsid w:val="00971F08"/>
    <w:rsid w:val="00976E37"/>
    <w:rsid w:val="009921A5"/>
    <w:rsid w:val="009948E4"/>
    <w:rsid w:val="00996CC3"/>
    <w:rsid w:val="00997D0F"/>
    <w:rsid w:val="009A0F27"/>
    <w:rsid w:val="009A2694"/>
    <w:rsid w:val="009A2FC0"/>
    <w:rsid w:val="009A367A"/>
    <w:rsid w:val="009A47C6"/>
    <w:rsid w:val="009A58D2"/>
    <w:rsid w:val="009B1D32"/>
    <w:rsid w:val="009B4A04"/>
    <w:rsid w:val="009C0279"/>
    <w:rsid w:val="009C3963"/>
    <w:rsid w:val="009C6AF4"/>
    <w:rsid w:val="009C7850"/>
    <w:rsid w:val="009D5606"/>
    <w:rsid w:val="009F0135"/>
    <w:rsid w:val="009F0311"/>
    <w:rsid w:val="00A046D1"/>
    <w:rsid w:val="00A10C75"/>
    <w:rsid w:val="00A124F8"/>
    <w:rsid w:val="00A246AC"/>
    <w:rsid w:val="00A35449"/>
    <w:rsid w:val="00A42F6D"/>
    <w:rsid w:val="00A46098"/>
    <w:rsid w:val="00A47251"/>
    <w:rsid w:val="00A51F6D"/>
    <w:rsid w:val="00A52F58"/>
    <w:rsid w:val="00A6406D"/>
    <w:rsid w:val="00A6666F"/>
    <w:rsid w:val="00A73B2A"/>
    <w:rsid w:val="00A80806"/>
    <w:rsid w:val="00A826FD"/>
    <w:rsid w:val="00A83A56"/>
    <w:rsid w:val="00A8569E"/>
    <w:rsid w:val="00A9094D"/>
    <w:rsid w:val="00A92817"/>
    <w:rsid w:val="00A94D9A"/>
    <w:rsid w:val="00A97895"/>
    <w:rsid w:val="00AA1D58"/>
    <w:rsid w:val="00AA5AF8"/>
    <w:rsid w:val="00AA74C2"/>
    <w:rsid w:val="00AB1F5F"/>
    <w:rsid w:val="00AC4B88"/>
    <w:rsid w:val="00AD57CD"/>
    <w:rsid w:val="00AD6122"/>
    <w:rsid w:val="00AE0CCF"/>
    <w:rsid w:val="00AE0EED"/>
    <w:rsid w:val="00AE771C"/>
    <w:rsid w:val="00AF0C2C"/>
    <w:rsid w:val="00AF7471"/>
    <w:rsid w:val="00B03241"/>
    <w:rsid w:val="00B052B4"/>
    <w:rsid w:val="00B055E2"/>
    <w:rsid w:val="00B0632D"/>
    <w:rsid w:val="00B07E79"/>
    <w:rsid w:val="00B07F22"/>
    <w:rsid w:val="00B12202"/>
    <w:rsid w:val="00B235A1"/>
    <w:rsid w:val="00B23E5E"/>
    <w:rsid w:val="00B33293"/>
    <w:rsid w:val="00B34440"/>
    <w:rsid w:val="00B36A85"/>
    <w:rsid w:val="00B375C9"/>
    <w:rsid w:val="00B376E4"/>
    <w:rsid w:val="00B412D2"/>
    <w:rsid w:val="00B4158E"/>
    <w:rsid w:val="00B460DB"/>
    <w:rsid w:val="00B52161"/>
    <w:rsid w:val="00B60E63"/>
    <w:rsid w:val="00B629B3"/>
    <w:rsid w:val="00B633E0"/>
    <w:rsid w:val="00B64A59"/>
    <w:rsid w:val="00B64C1B"/>
    <w:rsid w:val="00B76B85"/>
    <w:rsid w:val="00B773CD"/>
    <w:rsid w:val="00B80841"/>
    <w:rsid w:val="00B874A6"/>
    <w:rsid w:val="00B972F1"/>
    <w:rsid w:val="00BA014B"/>
    <w:rsid w:val="00BA153C"/>
    <w:rsid w:val="00BA2648"/>
    <w:rsid w:val="00BC79F7"/>
    <w:rsid w:val="00BD7F9E"/>
    <w:rsid w:val="00BE1ABB"/>
    <w:rsid w:val="00BE2EF1"/>
    <w:rsid w:val="00BE6ABE"/>
    <w:rsid w:val="00BF21BC"/>
    <w:rsid w:val="00BF50EB"/>
    <w:rsid w:val="00C01973"/>
    <w:rsid w:val="00C01A6B"/>
    <w:rsid w:val="00C034B3"/>
    <w:rsid w:val="00C10105"/>
    <w:rsid w:val="00C10BD7"/>
    <w:rsid w:val="00C13F7B"/>
    <w:rsid w:val="00C147F2"/>
    <w:rsid w:val="00C17344"/>
    <w:rsid w:val="00C325AD"/>
    <w:rsid w:val="00C33093"/>
    <w:rsid w:val="00C331AB"/>
    <w:rsid w:val="00C52D6C"/>
    <w:rsid w:val="00C54DB9"/>
    <w:rsid w:val="00C56543"/>
    <w:rsid w:val="00C67A92"/>
    <w:rsid w:val="00C81B43"/>
    <w:rsid w:val="00C83132"/>
    <w:rsid w:val="00C83249"/>
    <w:rsid w:val="00C846AA"/>
    <w:rsid w:val="00C95CEB"/>
    <w:rsid w:val="00C974C9"/>
    <w:rsid w:val="00CA3638"/>
    <w:rsid w:val="00CC7B9C"/>
    <w:rsid w:val="00CD0768"/>
    <w:rsid w:val="00CD591B"/>
    <w:rsid w:val="00CE3598"/>
    <w:rsid w:val="00CE76D7"/>
    <w:rsid w:val="00CF3D65"/>
    <w:rsid w:val="00CF62FF"/>
    <w:rsid w:val="00D007D5"/>
    <w:rsid w:val="00D01934"/>
    <w:rsid w:val="00D0628C"/>
    <w:rsid w:val="00D118B7"/>
    <w:rsid w:val="00D13034"/>
    <w:rsid w:val="00D13E43"/>
    <w:rsid w:val="00D14921"/>
    <w:rsid w:val="00D26062"/>
    <w:rsid w:val="00D30517"/>
    <w:rsid w:val="00D31378"/>
    <w:rsid w:val="00D31C95"/>
    <w:rsid w:val="00D43C4A"/>
    <w:rsid w:val="00D50D42"/>
    <w:rsid w:val="00D54F85"/>
    <w:rsid w:val="00D611F4"/>
    <w:rsid w:val="00D640FF"/>
    <w:rsid w:val="00D655A6"/>
    <w:rsid w:val="00D67BA0"/>
    <w:rsid w:val="00D72104"/>
    <w:rsid w:val="00DB1A0C"/>
    <w:rsid w:val="00DC0D69"/>
    <w:rsid w:val="00DD7497"/>
    <w:rsid w:val="00DE0666"/>
    <w:rsid w:val="00E0382D"/>
    <w:rsid w:val="00E11768"/>
    <w:rsid w:val="00E16C55"/>
    <w:rsid w:val="00E220E9"/>
    <w:rsid w:val="00E25175"/>
    <w:rsid w:val="00E26F04"/>
    <w:rsid w:val="00E332A8"/>
    <w:rsid w:val="00E34DBD"/>
    <w:rsid w:val="00E362CF"/>
    <w:rsid w:val="00E41F8B"/>
    <w:rsid w:val="00E61D61"/>
    <w:rsid w:val="00E62300"/>
    <w:rsid w:val="00E6739E"/>
    <w:rsid w:val="00E74310"/>
    <w:rsid w:val="00E7677D"/>
    <w:rsid w:val="00E805FA"/>
    <w:rsid w:val="00E913C3"/>
    <w:rsid w:val="00E97DAD"/>
    <w:rsid w:val="00EA0B81"/>
    <w:rsid w:val="00EA10D9"/>
    <w:rsid w:val="00EA188A"/>
    <w:rsid w:val="00EA2A8A"/>
    <w:rsid w:val="00EA5E92"/>
    <w:rsid w:val="00EB19F1"/>
    <w:rsid w:val="00EB28EF"/>
    <w:rsid w:val="00EB4E52"/>
    <w:rsid w:val="00EB5CD1"/>
    <w:rsid w:val="00EC20A3"/>
    <w:rsid w:val="00EC366B"/>
    <w:rsid w:val="00EE0394"/>
    <w:rsid w:val="00EE1206"/>
    <w:rsid w:val="00EE3F83"/>
    <w:rsid w:val="00EE5598"/>
    <w:rsid w:val="00EE7D04"/>
    <w:rsid w:val="00EF1AA1"/>
    <w:rsid w:val="00EF66F1"/>
    <w:rsid w:val="00F02CBD"/>
    <w:rsid w:val="00F15205"/>
    <w:rsid w:val="00F220E8"/>
    <w:rsid w:val="00F4176E"/>
    <w:rsid w:val="00F42D5B"/>
    <w:rsid w:val="00F62842"/>
    <w:rsid w:val="00F6519D"/>
    <w:rsid w:val="00F76D98"/>
    <w:rsid w:val="00F80054"/>
    <w:rsid w:val="00F8285E"/>
    <w:rsid w:val="00F83E4C"/>
    <w:rsid w:val="00F84385"/>
    <w:rsid w:val="00F905FE"/>
    <w:rsid w:val="00F929A4"/>
    <w:rsid w:val="00F95B07"/>
    <w:rsid w:val="00F95F04"/>
    <w:rsid w:val="00FA19F6"/>
    <w:rsid w:val="00FA6C46"/>
    <w:rsid w:val="00FB558C"/>
    <w:rsid w:val="00FB6AC6"/>
    <w:rsid w:val="00FC1717"/>
    <w:rsid w:val="00FD26F3"/>
    <w:rsid w:val="00FD4B04"/>
    <w:rsid w:val="00FE52BA"/>
    <w:rsid w:val="00FE7955"/>
    <w:rsid w:val="00FF1F3A"/>
    <w:rsid w:val="00FF6BC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B7D57CE"/>
  <w15:docId w15:val="{464829C8-4BE8-4FB4-92D5-8A1DF492C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4"/>
        <w:szCs w:val="24"/>
        <w:lang w:val="en-AU" w:eastAsia="ja-JP" w:bidi="ar-SA"/>
      </w:rPr>
    </w:rPrDefault>
    <w:pPrDefault>
      <w:pPr>
        <w:spacing w:after="170" w:line="320" w:lineRule="atLeast"/>
      </w:pPr>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5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4" w:unhideWhenUsed="1"/>
    <w:lsdException w:name="endnote reference" w:semiHidden="1" w:unhideWhenUsed="1"/>
    <w:lsdException w:name="endnote text" w:semiHidden="1" w:unhideWhenUsed="1"/>
    <w:lsdException w:name="table of authorities" w:semiHidden="1" w:uiPriority="59" w:unhideWhenUsed="1"/>
    <w:lsdException w:name="macro" w:semiHidden="1"/>
    <w:lsdException w:name="toa heading" w:semiHidden="1" w:unhideWhenUsed="1"/>
    <w:lsdException w:name="List" w:semiHidden="1" w:unhideWhenUsed="1"/>
    <w:lsdException w:name="List Bullet" w:uiPriority="4"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qFormat="1"/>
    <w:lsdException w:name="List Number 3" w:semiHidden="1" w:uiPriority="4" w:unhideWhenUsed="1" w:qFormat="1"/>
    <w:lsdException w:name="List Number 4" w:semiHidden="1" w:uiPriority="4" w:unhideWhenUsed="1"/>
    <w:lsdException w:name="List Number 5" w:semiHidden="1" w:uiPriority="4" w:unhideWhenUsed="1"/>
    <w:lsdException w:name="Title" w:uiPriority="9" w:qFormat="1"/>
    <w:lsdException w:name="Closing" w:semiHidden="1" w:unhideWhenUsed="1"/>
    <w:lsdException w:name="Signature" w:semiHidden="1" w:uiPriority="24"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0" w:qFormat="1"/>
    <w:lsdException w:name="Salutation" w:semiHidden="1" w:uiPriority="24" w:unhideWhenUsed="1"/>
    <w:lsdException w:name="Date" w:semiHidden="1" w:uiPriority="6"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7"/>
    <w:lsdException w:name="Emphasis" w:uiPriority="7"/>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2"/>
    <w:lsdException w:name="Intense Quote" w:semiHidden="1" w:uiPriority="2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WA Body Text"/>
    <w:unhideWhenUsed/>
    <w:rsid w:val="00C034B3"/>
    <w:rPr>
      <w:lang w:val="en-NZ"/>
    </w:rPr>
  </w:style>
  <w:style w:type="paragraph" w:styleId="Heading1">
    <w:name w:val="heading 1"/>
    <w:aliases w:val="SWA Heading 1"/>
    <w:next w:val="Normal"/>
    <w:link w:val="Heading1Char"/>
    <w:uiPriority w:val="9"/>
    <w:qFormat/>
    <w:rsid w:val="00540812"/>
    <w:pPr>
      <w:keepNext/>
      <w:keepLines/>
      <w:spacing w:before="397" w:after="284" w:line="520" w:lineRule="atLeast"/>
      <w:outlineLvl w:val="0"/>
    </w:pPr>
    <w:rPr>
      <w:rFonts w:ascii="Arial" w:hAnsi="Arial"/>
      <w:b/>
      <w:color w:val="2A2A3E"/>
      <w:sz w:val="44"/>
      <w:szCs w:val="22"/>
      <w:lang w:val="en-NZ" w:eastAsia="en-NZ"/>
    </w:rPr>
  </w:style>
  <w:style w:type="paragraph" w:styleId="Heading2">
    <w:name w:val="heading 2"/>
    <w:aliases w:val="SWA Heading 2"/>
    <w:next w:val="Normal"/>
    <w:link w:val="Heading2Char"/>
    <w:uiPriority w:val="9"/>
    <w:qFormat/>
    <w:rsid w:val="00A8569E"/>
    <w:pPr>
      <w:keepNext/>
      <w:keepLines/>
      <w:spacing w:before="454" w:after="113" w:line="440" w:lineRule="atLeast"/>
      <w:outlineLvl w:val="1"/>
    </w:pPr>
    <w:rPr>
      <w:rFonts w:ascii="Arial" w:hAnsi="Arial"/>
      <w:b/>
      <w:color w:val="26567F"/>
      <w:sz w:val="36"/>
      <w:szCs w:val="22"/>
      <w:lang w:val="en-NZ" w:eastAsia="en-NZ"/>
    </w:rPr>
  </w:style>
  <w:style w:type="paragraph" w:styleId="Heading3">
    <w:name w:val="heading 3"/>
    <w:aliases w:val="SWA Heading 3"/>
    <w:next w:val="Normal"/>
    <w:link w:val="Heading3Char"/>
    <w:uiPriority w:val="9"/>
    <w:qFormat/>
    <w:rsid w:val="00A8569E"/>
    <w:pPr>
      <w:keepNext/>
      <w:keepLines/>
      <w:spacing w:before="170" w:after="113"/>
      <w:outlineLvl w:val="2"/>
    </w:pPr>
    <w:rPr>
      <w:rFonts w:ascii="Arial" w:hAnsi="Arial"/>
      <w:b/>
      <w:color w:val="26567F"/>
      <w:sz w:val="28"/>
      <w:szCs w:val="22"/>
      <w:lang w:val="en-NZ" w:eastAsia="en-NZ"/>
    </w:rPr>
  </w:style>
  <w:style w:type="paragraph" w:styleId="Heading4">
    <w:name w:val="heading 4"/>
    <w:aliases w:val="SWA Heading 4"/>
    <w:next w:val="Normal"/>
    <w:link w:val="Heading4Char"/>
    <w:uiPriority w:val="9"/>
    <w:qFormat/>
    <w:rsid w:val="00E805FA"/>
    <w:pPr>
      <w:keepNext/>
      <w:keepLines/>
      <w:spacing w:before="227" w:after="113" w:line="300" w:lineRule="atLeast"/>
      <w:outlineLvl w:val="3"/>
    </w:pPr>
    <w:rPr>
      <w:rFonts w:ascii="Arial" w:hAnsi="Arial"/>
      <w:b/>
      <w:color w:val="2A2A3E"/>
      <w:szCs w:val="22"/>
      <w:lang w:val="en-NZ" w:eastAsia="en-NZ"/>
    </w:rPr>
  </w:style>
  <w:style w:type="paragraph" w:styleId="Heading5">
    <w:name w:val="heading 5"/>
    <w:aliases w:val="SWA Heading 5"/>
    <w:next w:val="Normal"/>
    <w:link w:val="Heading5Char"/>
    <w:uiPriority w:val="9"/>
    <w:qFormat/>
    <w:rsid w:val="00E805FA"/>
    <w:pPr>
      <w:keepNext/>
      <w:keepLines/>
      <w:spacing w:before="170" w:after="113" w:line="280" w:lineRule="atLeast"/>
      <w:outlineLvl w:val="4"/>
    </w:pPr>
    <w:rPr>
      <w:rFonts w:ascii="Arial" w:hAnsi="Arial"/>
      <w:b/>
      <w:color w:val="2A2A3E"/>
      <w:sz w:val="22"/>
      <w:szCs w:val="22"/>
      <w:lang w:val="en-NZ" w:eastAsia="en-NZ"/>
    </w:rPr>
  </w:style>
  <w:style w:type="paragraph" w:styleId="Heading6">
    <w:name w:val="heading 6"/>
    <w:aliases w:val="SWA Heading 6"/>
    <w:basedOn w:val="Normal"/>
    <w:next w:val="Normal"/>
    <w:link w:val="Heading6Char"/>
    <w:uiPriority w:val="9"/>
    <w:semiHidden/>
    <w:unhideWhenUsed/>
    <w:qFormat/>
    <w:rsid w:val="00614C8C"/>
    <w:pPr>
      <w:keepNext/>
      <w:keepLines/>
      <w:spacing w:before="40" w:after="0"/>
      <w:outlineLvl w:val="5"/>
    </w:pPr>
    <w:rPr>
      <w:rFonts w:ascii="Arial" w:eastAsiaTheme="majorEastAsia" w:hAnsi="Arial" w:cstheme="majorBidi"/>
      <w:color w:val="2A2A3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link w:val="Heading1"/>
    <w:uiPriority w:val="9"/>
    <w:rsid w:val="00540812"/>
    <w:rPr>
      <w:rFonts w:ascii="Arial" w:hAnsi="Arial"/>
      <w:b/>
      <w:color w:val="2A2A3E"/>
      <w:sz w:val="44"/>
      <w:szCs w:val="22"/>
      <w:lang w:val="en-NZ" w:eastAsia="en-NZ"/>
    </w:rPr>
  </w:style>
  <w:style w:type="character" w:customStyle="1" w:styleId="Heading2Char">
    <w:name w:val="Heading 2 Char"/>
    <w:aliases w:val="SWA Heading 2 Char"/>
    <w:link w:val="Heading2"/>
    <w:uiPriority w:val="9"/>
    <w:rsid w:val="00A8569E"/>
    <w:rPr>
      <w:rFonts w:ascii="Arial" w:hAnsi="Arial"/>
      <w:b/>
      <w:color w:val="26567F"/>
      <w:sz w:val="36"/>
      <w:szCs w:val="22"/>
      <w:lang w:val="en-NZ" w:eastAsia="en-NZ"/>
    </w:rPr>
  </w:style>
  <w:style w:type="character" w:customStyle="1" w:styleId="Heading3Char">
    <w:name w:val="Heading 3 Char"/>
    <w:aliases w:val="SWA Heading 3 Char"/>
    <w:link w:val="Heading3"/>
    <w:uiPriority w:val="9"/>
    <w:rsid w:val="00A8569E"/>
    <w:rPr>
      <w:rFonts w:ascii="Arial" w:hAnsi="Arial"/>
      <w:b/>
      <w:color w:val="26567F"/>
      <w:sz w:val="28"/>
      <w:szCs w:val="22"/>
      <w:lang w:val="en-NZ" w:eastAsia="en-NZ"/>
    </w:rPr>
  </w:style>
  <w:style w:type="paragraph" w:styleId="NoSpacing">
    <w:name w:val="No Spacing"/>
    <w:aliases w:val="SWA No Spacing 1"/>
    <w:uiPriority w:val="1"/>
    <w:qFormat/>
    <w:rsid w:val="00277D95"/>
    <w:pPr>
      <w:spacing w:after="0" w:line="240" w:lineRule="auto"/>
    </w:pPr>
    <w:rPr>
      <w:lang w:val="en-NZ"/>
    </w:rPr>
  </w:style>
  <w:style w:type="character" w:styleId="FollowedHyperlink">
    <w:name w:val="FollowedHyperlink"/>
    <w:aliases w:val="SWA FollowedHyperlink"/>
    <w:uiPriority w:val="94"/>
    <w:rsid w:val="001B7C27"/>
    <w:rPr>
      <w:color w:val="E8731B" w:themeColor="accent3"/>
      <w:u w:val="single"/>
    </w:rPr>
  </w:style>
  <w:style w:type="character" w:customStyle="1" w:styleId="SWAStyleBold">
    <w:name w:val="SWA Style Bold"/>
    <w:basedOn w:val="DefaultParagraphFont"/>
    <w:rsid w:val="00282B70"/>
    <w:rPr>
      <w:b/>
      <w:bCs/>
    </w:rPr>
  </w:style>
  <w:style w:type="paragraph" w:customStyle="1" w:styleId="SWANoSpacing">
    <w:name w:val="SWA No Spacing"/>
    <w:basedOn w:val="Normal"/>
    <w:rsid w:val="00F4176E"/>
    <w:pPr>
      <w:spacing w:after="0" w:line="276" w:lineRule="auto"/>
      <w:jc w:val="both"/>
    </w:pPr>
    <w:rPr>
      <w:rFonts w:eastAsia="Times New Roman"/>
      <w:sz w:val="28"/>
      <w:szCs w:val="20"/>
      <w:lang w:val="en-AU"/>
    </w:rPr>
  </w:style>
  <w:style w:type="paragraph" w:styleId="BodyTextFirstIndent">
    <w:name w:val="Body Text First Indent"/>
    <w:basedOn w:val="Normal"/>
    <w:link w:val="BodyTextFirstIndentChar"/>
    <w:semiHidden/>
    <w:rsid w:val="005B7314"/>
    <w:pPr>
      <w:ind w:firstLine="567"/>
    </w:pPr>
  </w:style>
  <w:style w:type="character" w:customStyle="1" w:styleId="BodyTextFirstIndentChar">
    <w:name w:val="Body Text First Indent Char"/>
    <w:basedOn w:val="DefaultParagraphFont"/>
    <w:link w:val="BodyTextFirstIndent"/>
    <w:semiHidden/>
    <w:rsid w:val="005B7314"/>
    <w:rPr>
      <w:sz w:val="22"/>
      <w:szCs w:val="22"/>
      <w:lang w:val="en-GB" w:eastAsia="en-NZ"/>
    </w:rPr>
  </w:style>
  <w:style w:type="paragraph" w:styleId="BodyTextIndent">
    <w:name w:val="Body Text Indent"/>
    <w:basedOn w:val="Normal"/>
    <w:link w:val="BodyTextIndentChar"/>
    <w:semiHidden/>
    <w:rsid w:val="008136EF"/>
    <w:pPr>
      <w:spacing w:before="120"/>
      <w:ind w:left="567"/>
    </w:pPr>
  </w:style>
  <w:style w:type="character" w:customStyle="1" w:styleId="BodyTextIndentChar">
    <w:name w:val="Body Text Indent Char"/>
    <w:basedOn w:val="DefaultParagraphFont"/>
    <w:link w:val="BodyTextIndent"/>
    <w:semiHidden/>
    <w:rsid w:val="00A10C75"/>
  </w:style>
  <w:style w:type="paragraph" w:styleId="BodyTextFirstIndent2">
    <w:name w:val="Body Text First Indent 2"/>
    <w:basedOn w:val="BodyTextIndent"/>
    <w:link w:val="BodyTextFirstIndent2Char"/>
    <w:semiHidden/>
    <w:rsid w:val="008136EF"/>
    <w:pPr>
      <w:ind w:firstLine="567"/>
    </w:pPr>
  </w:style>
  <w:style w:type="character" w:customStyle="1" w:styleId="BodyTextFirstIndent2Char">
    <w:name w:val="Body Text First Indent 2 Char"/>
    <w:basedOn w:val="BodyTextIndentChar"/>
    <w:link w:val="BodyTextFirstIndent2"/>
    <w:semiHidden/>
    <w:rsid w:val="00A10C75"/>
  </w:style>
  <w:style w:type="paragraph" w:styleId="Date">
    <w:name w:val="Date"/>
    <w:aliases w:val="SWA Date"/>
    <w:next w:val="Normal"/>
    <w:link w:val="DateChar"/>
    <w:uiPriority w:val="12"/>
    <w:qFormat/>
    <w:rsid w:val="00E805FA"/>
    <w:pPr>
      <w:spacing w:after="0"/>
    </w:pPr>
    <w:rPr>
      <w:rFonts w:ascii="Arial" w:hAnsi="Arial"/>
      <w:b/>
      <w:color w:val="FFFFFF"/>
      <w:sz w:val="36"/>
      <w:szCs w:val="22"/>
      <w:lang w:val="en-NZ" w:eastAsia="en-NZ"/>
    </w:rPr>
  </w:style>
  <w:style w:type="character" w:customStyle="1" w:styleId="DateChar">
    <w:name w:val="Date Char"/>
    <w:aliases w:val="SWA Date Char"/>
    <w:basedOn w:val="DefaultParagraphFont"/>
    <w:link w:val="Date"/>
    <w:uiPriority w:val="12"/>
    <w:rsid w:val="00E805FA"/>
    <w:rPr>
      <w:rFonts w:ascii="Arial" w:hAnsi="Arial"/>
      <w:b/>
      <w:color w:val="FFFFFF"/>
      <w:sz w:val="36"/>
      <w:szCs w:val="22"/>
      <w:lang w:val="en-NZ" w:eastAsia="en-NZ"/>
    </w:rPr>
  </w:style>
  <w:style w:type="character" w:styleId="Strong">
    <w:name w:val="Strong"/>
    <w:aliases w:val="SWA Bold"/>
    <w:uiPriority w:val="19"/>
    <w:rsid w:val="004A41DF"/>
    <w:rPr>
      <w:b/>
      <w:bCs/>
    </w:rPr>
  </w:style>
  <w:style w:type="character" w:styleId="Emphasis">
    <w:name w:val="Emphasis"/>
    <w:aliases w:val="SWA Italics"/>
    <w:uiPriority w:val="19"/>
    <w:rsid w:val="004A41DF"/>
    <w:rPr>
      <w:i/>
      <w:iCs/>
    </w:rPr>
  </w:style>
  <w:style w:type="paragraph" w:styleId="ListNumber">
    <w:name w:val="List Number"/>
    <w:aliases w:val="SWA List Number"/>
    <w:basedOn w:val="Normal"/>
    <w:uiPriority w:val="4"/>
    <w:qFormat/>
    <w:rsid w:val="004F1BFE"/>
    <w:pPr>
      <w:numPr>
        <w:numId w:val="23"/>
      </w:numPr>
      <w:spacing w:before="28" w:after="85"/>
    </w:pPr>
    <w:rPr>
      <w:szCs w:val="22"/>
      <w:lang w:eastAsia="en-NZ"/>
    </w:rPr>
  </w:style>
  <w:style w:type="paragraph" w:styleId="ListNumber2">
    <w:name w:val="List Number 2"/>
    <w:aliases w:val="SWA List Number 2"/>
    <w:basedOn w:val="ListNumber"/>
    <w:uiPriority w:val="4"/>
    <w:qFormat/>
    <w:rsid w:val="004F1BFE"/>
    <w:pPr>
      <w:numPr>
        <w:ilvl w:val="1"/>
      </w:numPr>
    </w:pPr>
  </w:style>
  <w:style w:type="paragraph" w:styleId="ListNumber3">
    <w:name w:val="List Number 3"/>
    <w:aliases w:val="SWA List Number 3"/>
    <w:basedOn w:val="ListNumber2"/>
    <w:uiPriority w:val="4"/>
    <w:qFormat/>
    <w:rsid w:val="004F1BFE"/>
    <w:pPr>
      <w:numPr>
        <w:ilvl w:val="2"/>
      </w:numPr>
    </w:pPr>
  </w:style>
  <w:style w:type="paragraph" w:styleId="Caption">
    <w:name w:val="caption"/>
    <w:aliases w:val="SWA Caption"/>
    <w:basedOn w:val="Normal"/>
    <w:next w:val="Normal"/>
    <w:uiPriority w:val="35"/>
    <w:unhideWhenUsed/>
    <w:qFormat/>
    <w:rsid w:val="005B7314"/>
    <w:pPr>
      <w:keepNext/>
      <w:spacing w:before="240" w:after="80" w:line="240" w:lineRule="auto"/>
    </w:pPr>
    <w:rPr>
      <w:rFonts w:ascii="Arial" w:hAnsi="Arial"/>
      <w:b/>
      <w:bCs/>
      <w:color w:val="2A2A3E"/>
      <w:sz w:val="22"/>
      <w:szCs w:val="18"/>
      <w:lang w:eastAsia="en-NZ"/>
    </w:rPr>
  </w:style>
  <w:style w:type="paragraph" w:styleId="BodyText2">
    <w:name w:val="Body Text 2"/>
    <w:basedOn w:val="Normal"/>
    <w:link w:val="BodyText2Char"/>
    <w:semiHidden/>
    <w:rsid w:val="005B7314"/>
    <w:pPr>
      <w:ind w:left="284"/>
    </w:pPr>
  </w:style>
  <w:style w:type="character" w:customStyle="1" w:styleId="BodyText2Char">
    <w:name w:val="Body Text 2 Char"/>
    <w:basedOn w:val="DefaultParagraphFont"/>
    <w:link w:val="BodyText2"/>
    <w:semiHidden/>
    <w:rsid w:val="000C01AC"/>
    <w:rPr>
      <w:szCs w:val="22"/>
      <w:lang w:val="en-NZ" w:eastAsia="en-NZ"/>
    </w:rPr>
  </w:style>
  <w:style w:type="paragraph" w:styleId="BodyText3">
    <w:name w:val="Body Text 3"/>
    <w:basedOn w:val="Normal"/>
    <w:link w:val="BodyText3Char"/>
    <w:semiHidden/>
    <w:rsid w:val="005B7314"/>
    <w:pPr>
      <w:spacing w:after="120"/>
    </w:pPr>
    <w:rPr>
      <w:sz w:val="16"/>
      <w:szCs w:val="16"/>
    </w:rPr>
  </w:style>
  <w:style w:type="character" w:customStyle="1" w:styleId="BodyText3Char">
    <w:name w:val="Body Text 3 Char"/>
    <w:link w:val="BodyText3"/>
    <w:semiHidden/>
    <w:rsid w:val="000C01AC"/>
    <w:rPr>
      <w:sz w:val="16"/>
      <w:szCs w:val="16"/>
      <w:lang w:val="en-NZ" w:eastAsia="en-NZ"/>
    </w:rPr>
  </w:style>
  <w:style w:type="paragraph" w:styleId="Title">
    <w:name w:val="Title"/>
    <w:aliases w:val="SWA Title"/>
    <w:link w:val="TitleChar"/>
    <w:uiPriority w:val="11"/>
    <w:qFormat/>
    <w:rsid w:val="00D640FF"/>
    <w:pPr>
      <w:spacing w:after="0" w:line="240" w:lineRule="auto"/>
      <w:contextualSpacing/>
    </w:pPr>
    <w:rPr>
      <w:rFonts w:ascii="Arial" w:hAnsi="Arial"/>
      <w:b/>
      <w:color w:val="FFFFFF"/>
      <w:spacing w:val="20"/>
      <w:sz w:val="90"/>
      <w:szCs w:val="52"/>
      <w:lang w:val="en-NZ" w:eastAsia="en-NZ"/>
    </w:rPr>
  </w:style>
  <w:style w:type="character" w:customStyle="1" w:styleId="TitleChar">
    <w:name w:val="Title Char"/>
    <w:aliases w:val="SWA Title Char"/>
    <w:link w:val="Title"/>
    <w:uiPriority w:val="11"/>
    <w:rsid w:val="00D640FF"/>
    <w:rPr>
      <w:rFonts w:ascii="Arial" w:hAnsi="Arial"/>
      <w:b/>
      <w:color w:val="FFFFFF"/>
      <w:spacing w:val="20"/>
      <w:sz w:val="90"/>
      <w:szCs w:val="52"/>
      <w:lang w:val="en-NZ" w:eastAsia="en-NZ"/>
    </w:rPr>
  </w:style>
  <w:style w:type="paragraph" w:styleId="Footer">
    <w:name w:val="footer"/>
    <w:aliases w:val="SWA Footer"/>
    <w:link w:val="FooterChar"/>
    <w:uiPriority w:val="99"/>
    <w:rsid w:val="00AE0CCF"/>
    <w:pPr>
      <w:pBdr>
        <w:top w:val="single" w:sz="8" w:space="10" w:color="EEEFEF"/>
      </w:pBdr>
      <w:spacing w:after="0" w:line="180" w:lineRule="atLeast"/>
    </w:pPr>
    <w:rPr>
      <w:color w:val="979AA0"/>
      <w:sz w:val="16"/>
      <w:szCs w:val="22"/>
      <w:lang w:val="en-NZ" w:eastAsia="en-NZ"/>
    </w:rPr>
  </w:style>
  <w:style w:type="character" w:customStyle="1" w:styleId="FooterChar">
    <w:name w:val="Footer Char"/>
    <w:aliases w:val="SWA Footer Char"/>
    <w:basedOn w:val="DefaultParagraphFont"/>
    <w:link w:val="Footer"/>
    <w:uiPriority w:val="99"/>
    <w:rsid w:val="00AE0CCF"/>
    <w:rPr>
      <w:color w:val="979AA0"/>
      <w:sz w:val="16"/>
      <w:szCs w:val="22"/>
      <w:lang w:val="en-NZ" w:eastAsia="en-NZ"/>
    </w:rPr>
  </w:style>
  <w:style w:type="paragraph" w:styleId="ListBullet">
    <w:name w:val="List Bullet"/>
    <w:aliases w:val="SWA List Bullet"/>
    <w:basedOn w:val="Normal"/>
    <w:uiPriority w:val="4"/>
    <w:qFormat/>
    <w:rsid w:val="005B7314"/>
    <w:pPr>
      <w:numPr>
        <w:numId w:val="25"/>
      </w:numPr>
      <w:spacing w:before="28" w:after="85"/>
    </w:pPr>
    <w:rPr>
      <w:szCs w:val="22"/>
      <w:lang w:eastAsia="en-NZ"/>
    </w:rPr>
  </w:style>
  <w:style w:type="paragraph" w:styleId="ListBullet2">
    <w:name w:val="List Bullet 2"/>
    <w:aliases w:val="SWA List Bullet 2"/>
    <w:basedOn w:val="ListBullet"/>
    <w:uiPriority w:val="4"/>
    <w:qFormat/>
    <w:rsid w:val="00230D4A"/>
    <w:pPr>
      <w:numPr>
        <w:ilvl w:val="1"/>
        <w:numId w:val="26"/>
      </w:numPr>
    </w:pPr>
  </w:style>
  <w:style w:type="paragraph" w:styleId="ListBullet3">
    <w:name w:val="List Bullet 3"/>
    <w:basedOn w:val="ListBullet2"/>
    <w:uiPriority w:val="4"/>
    <w:semiHidden/>
    <w:rsid w:val="00592133"/>
    <w:pPr>
      <w:numPr>
        <w:ilvl w:val="2"/>
      </w:numPr>
    </w:pPr>
  </w:style>
  <w:style w:type="paragraph" w:styleId="ListBullet4">
    <w:name w:val="List Bullet 4"/>
    <w:basedOn w:val="ListBullet3"/>
    <w:uiPriority w:val="4"/>
    <w:semiHidden/>
    <w:rsid w:val="00592133"/>
    <w:pPr>
      <w:numPr>
        <w:ilvl w:val="3"/>
      </w:numPr>
    </w:pPr>
  </w:style>
  <w:style w:type="paragraph" w:styleId="ListBullet5">
    <w:name w:val="List Bullet 5"/>
    <w:basedOn w:val="ListBullet4"/>
    <w:uiPriority w:val="4"/>
    <w:semiHidden/>
    <w:rsid w:val="00592133"/>
    <w:pPr>
      <w:numPr>
        <w:ilvl w:val="4"/>
      </w:numPr>
    </w:pPr>
  </w:style>
  <w:style w:type="paragraph" w:styleId="ListNumber4">
    <w:name w:val="List Number 4"/>
    <w:basedOn w:val="ListNumber3"/>
    <w:uiPriority w:val="4"/>
    <w:semiHidden/>
    <w:rsid w:val="00592133"/>
    <w:pPr>
      <w:numPr>
        <w:ilvl w:val="3"/>
      </w:numPr>
      <w:tabs>
        <w:tab w:val="num" w:pos="360"/>
      </w:tabs>
      <w:ind w:left="1588" w:hanging="737"/>
    </w:pPr>
  </w:style>
  <w:style w:type="paragraph" w:styleId="ListNumber5">
    <w:name w:val="List Number 5"/>
    <w:basedOn w:val="ListNumber4"/>
    <w:uiPriority w:val="4"/>
    <w:semiHidden/>
    <w:rsid w:val="00592133"/>
    <w:pPr>
      <w:numPr>
        <w:ilvl w:val="4"/>
      </w:numPr>
      <w:tabs>
        <w:tab w:val="num" w:pos="360"/>
      </w:tabs>
      <w:ind w:left="1588" w:hanging="737"/>
    </w:pPr>
  </w:style>
  <w:style w:type="paragraph" w:styleId="ListParagraph">
    <w:name w:val="List Paragraph"/>
    <w:basedOn w:val="Normal"/>
    <w:uiPriority w:val="34"/>
    <w:qFormat/>
    <w:rsid w:val="00F8285E"/>
    <w:pPr>
      <w:ind w:left="284"/>
      <w:contextualSpacing/>
    </w:pPr>
  </w:style>
  <w:style w:type="table" w:styleId="TableGrid">
    <w:name w:val="Table Grid"/>
    <w:basedOn w:val="TableNormal"/>
    <w:rsid w:val="00885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8857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1AC"/>
    <w:rPr>
      <w:rFonts w:ascii="Tahoma" w:hAnsi="Tahoma" w:cs="Tahoma"/>
      <w:sz w:val="16"/>
      <w:szCs w:val="16"/>
      <w:lang w:val="en-NZ"/>
    </w:rPr>
  </w:style>
  <w:style w:type="character" w:customStyle="1" w:styleId="Heading4Char">
    <w:name w:val="Heading 4 Char"/>
    <w:aliases w:val="SWA Heading 4 Char"/>
    <w:basedOn w:val="DefaultParagraphFont"/>
    <w:link w:val="Heading4"/>
    <w:uiPriority w:val="9"/>
    <w:rsid w:val="00E805FA"/>
    <w:rPr>
      <w:rFonts w:ascii="Arial" w:hAnsi="Arial"/>
      <w:b/>
      <w:color w:val="2A2A3E"/>
      <w:szCs w:val="22"/>
      <w:lang w:val="en-NZ" w:eastAsia="en-NZ"/>
    </w:rPr>
  </w:style>
  <w:style w:type="character" w:customStyle="1" w:styleId="Heading5Char">
    <w:name w:val="Heading 5 Char"/>
    <w:aliases w:val="SWA Heading 5 Char"/>
    <w:basedOn w:val="DefaultParagraphFont"/>
    <w:link w:val="Heading5"/>
    <w:uiPriority w:val="9"/>
    <w:rsid w:val="00E805FA"/>
    <w:rPr>
      <w:rFonts w:ascii="Arial" w:hAnsi="Arial"/>
      <w:b/>
      <w:color w:val="2A2A3E"/>
      <w:sz w:val="22"/>
      <w:szCs w:val="22"/>
      <w:lang w:val="en-NZ" w:eastAsia="en-NZ"/>
    </w:rPr>
  </w:style>
  <w:style w:type="character" w:styleId="PlaceholderText">
    <w:name w:val="Placeholder Text"/>
    <w:basedOn w:val="DefaultParagraphFont"/>
    <w:uiPriority w:val="99"/>
    <w:semiHidden/>
    <w:rsid w:val="00423323"/>
    <w:rPr>
      <w:color w:val="808080"/>
    </w:rPr>
  </w:style>
  <w:style w:type="paragraph" w:customStyle="1" w:styleId="HeaderTabText">
    <w:name w:val="Header Tab Text"/>
    <w:basedOn w:val="Normal"/>
    <w:uiPriority w:val="96"/>
    <w:semiHidden/>
    <w:rsid w:val="00A42F6D"/>
    <w:pPr>
      <w:widowControl w:val="0"/>
      <w:spacing w:before="28" w:after="85"/>
    </w:pPr>
    <w:rPr>
      <w:rFonts w:asciiTheme="majorHAnsi" w:hAnsiTheme="majorHAnsi"/>
      <w:b/>
    </w:rPr>
  </w:style>
  <w:style w:type="table" w:customStyle="1" w:styleId="SIATable1IntroTeal">
    <w:name w:val="SIA Table 1 Intro Teal"/>
    <w:basedOn w:val="TableNormal"/>
    <w:uiPriority w:val="99"/>
    <w:rsid w:val="001E27D0"/>
    <w:pPr>
      <w:spacing w:before="85" w:after="113"/>
    </w:pPr>
    <w:rPr>
      <w:color w:val="2A2A3E"/>
    </w:rPr>
    <w:tblPr>
      <w:tblStyleColBandSize w:val="1"/>
      <w:tblBorders>
        <w:top w:val="single" w:sz="36" w:space="0" w:color="F2F1F3"/>
        <w:left w:val="single" w:sz="36" w:space="0" w:color="F2F1F3"/>
        <w:bottom w:val="single" w:sz="36" w:space="0" w:color="F2F1F3"/>
        <w:right w:val="single" w:sz="36" w:space="0" w:color="F2F1F3"/>
      </w:tblBorders>
      <w:tblCellMar>
        <w:left w:w="28" w:type="dxa"/>
        <w:right w:w="227" w:type="dxa"/>
      </w:tblCellMar>
    </w:tblPr>
    <w:tcPr>
      <w:shd w:val="clear" w:color="auto" w:fill="F2F1F3"/>
      <w:tcMar>
        <w:left w:w="108" w:type="dxa"/>
      </w:tcMar>
    </w:tcPr>
    <w:tblStylePr w:type="firstRow">
      <w:tblPr>
        <w:tblCellMar>
          <w:top w:w="57" w:type="dxa"/>
          <w:left w:w="227" w:type="dxa"/>
          <w:bottom w:w="0" w:type="dxa"/>
          <w:right w:w="227" w:type="dxa"/>
        </w:tblCellMar>
      </w:tblPr>
    </w:tblStylePr>
    <w:tblStylePr w:type="lastRow">
      <w:tblPr/>
      <w:tcPr>
        <w:shd w:val="clear" w:color="auto" w:fill="F2F1F3"/>
      </w:tcPr>
    </w:tblStylePr>
    <w:tblStylePr w:type="firstCol">
      <w:pPr>
        <w:wordWrap/>
        <w:spacing w:beforeLines="0" w:before="57" w:beforeAutospacing="0" w:line="320" w:lineRule="atLeast"/>
      </w:pPr>
      <w:rPr>
        <w:rFonts w:ascii="Arial" w:hAnsi="Arial"/>
        <w:b/>
        <w:i w:val="0"/>
        <w:color w:val="2A2A3E"/>
        <w:sz w:val="22"/>
      </w:rPr>
    </w:tblStylePr>
    <w:tblStylePr w:type="lastCol">
      <w:rPr>
        <w:rFonts w:asciiTheme="minorHAnsi" w:hAnsiTheme="minorHAnsi"/>
        <w:sz w:val="20"/>
      </w:rPr>
    </w:tblStylePr>
  </w:style>
  <w:style w:type="paragraph" w:customStyle="1" w:styleId="SWATablebody">
    <w:name w:val="SWA Table body"/>
    <w:basedOn w:val="Normal"/>
    <w:uiPriority w:val="49"/>
    <w:unhideWhenUsed/>
    <w:rsid w:val="003E1D5D"/>
    <w:pPr>
      <w:spacing w:before="85" w:after="113" w:line="260" w:lineRule="atLeast"/>
    </w:pPr>
    <w:rPr>
      <w:color w:val="2A2A3E" w:themeColor="text2"/>
      <w:sz w:val="20"/>
    </w:rPr>
  </w:style>
  <w:style w:type="table" w:customStyle="1" w:styleId="SIATable1BLUE">
    <w:name w:val="SIA Table 1 BLUE"/>
    <w:basedOn w:val="TableNormal"/>
    <w:uiPriority w:val="99"/>
    <w:rsid w:val="005720D8"/>
    <w:pPr>
      <w:spacing w:after="0" w:line="240" w:lineRule="auto"/>
    </w:pPr>
    <w:tblPr>
      <w:tblStyleRowBandSize w:val="1"/>
    </w:tblPr>
    <w:tcPr>
      <w:tcMar>
        <w:top w:w="113" w:type="dxa"/>
        <w:bottom w:w="113" w:type="dxa"/>
      </w:tcMar>
    </w:tcPr>
    <w:tblStylePr w:type="firstRow">
      <w:rPr>
        <w:rFonts w:ascii="Arial" w:hAnsi="Arial"/>
        <w:b/>
        <w:i w:val="0"/>
        <w:color w:val="26567F"/>
        <w:sz w:val="20"/>
      </w:rPr>
      <w:tblPr/>
      <w:tcPr>
        <w:tcBorders>
          <w:top w:val="single" w:sz="4" w:space="0" w:color="26567F" w:themeColor="accent1"/>
          <w:bottom w:val="single" w:sz="4" w:space="0" w:color="26567F" w:themeColor="accent1"/>
        </w:tcBorders>
      </w:tcPr>
    </w:tblStylePr>
    <w:tblStylePr w:type="band1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tblStylePr w:type="band2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style>
  <w:style w:type="table" w:customStyle="1" w:styleId="SIATable2GreyBox">
    <w:name w:val="SIA Table 2 Grey Box"/>
    <w:basedOn w:val="TableNormal"/>
    <w:uiPriority w:val="99"/>
    <w:rsid w:val="004C57F0"/>
    <w:pPr>
      <w:spacing w:before="150"/>
    </w:pPr>
    <w:tblPr>
      <w:tblCellMar>
        <w:left w:w="284" w:type="dxa"/>
        <w:right w:w="284" w:type="dxa"/>
      </w:tblCellMar>
    </w:tblPr>
    <w:tcPr>
      <w:shd w:val="clear" w:color="auto" w:fill="F2F1F3"/>
    </w:tcPr>
  </w:style>
  <w:style w:type="table" w:styleId="TableWeb3">
    <w:name w:val="Table Web 3"/>
    <w:basedOn w:val="TableNormal"/>
    <w:rsid w:val="00362DC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aliases w:val="SWA TOC Heading"/>
    <w:basedOn w:val="Heading1"/>
    <w:next w:val="Normal"/>
    <w:uiPriority w:val="39"/>
    <w:rsid w:val="00B03241"/>
    <w:pPr>
      <w:spacing w:before="0" w:after="170" w:line="320" w:lineRule="atLeast"/>
      <w:ind w:right="284"/>
      <w:outlineLvl w:val="9"/>
    </w:pPr>
    <w:rPr>
      <w:rFonts w:eastAsiaTheme="majorEastAsia" w:cstheme="majorBidi"/>
      <w:bCs/>
      <w:color w:val="26567F"/>
      <w:sz w:val="28"/>
      <w:szCs w:val="28"/>
      <w:lang w:eastAsia="ja-JP"/>
    </w:rPr>
  </w:style>
  <w:style w:type="paragraph" w:customStyle="1" w:styleId="SWABodyTextAfterBullet">
    <w:name w:val="SWA Body Text After Bullet"/>
    <w:basedOn w:val="Normal"/>
    <w:next w:val="Normal"/>
    <w:qFormat/>
    <w:rsid w:val="005B7314"/>
    <w:pPr>
      <w:spacing w:before="170"/>
    </w:pPr>
    <w:rPr>
      <w:szCs w:val="22"/>
      <w:lang w:eastAsia="en-NZ"/>
    </w:rPr>
  </w:style>
  <w:style w:type="paragraph" w:customStyle="1" w:styleId="SWASpaceforLine">
    <w:name w:val="SWA Space for Line"/>
    <w:next w:val="Normal"/>
    <w:uiPriority w:val="8"/>
    <w:rsid w:val="001536FB"/>
    <w:pPr>
      <w:keepNext/>
      <w:spacing w:after="340" w:line="200" w:lineRule="exact"/>
    </w:pPr>
    <w:rPr>
      <w:sz w:val="16"/>
      <w:lang w:val="en-NZ"/>
    </w:rPr>
  </w:style>
  <w:style w:type="character" w:customStyle="1" w:styleId="Heading6Char">
    <w:name w:val="Heading 6 Char"/>
    <w:aliases w:val="SWA Heading 6 Char"/>
    <w:basedOn w:val="DefaultParagraphFont"/>
    <w:link w:val="Heading6"/>
    <w:uiPriority w:val="9"/>
    <w:semiHidden/>
    <w:rsid w:val="00614C8C"/>
    <w:rPr>
      <w:rFonts w:ascii="Arial" w:eastAsiaTheme="majorEastAsia" w:hAnsi="Arial" w:cstheme="majorBidi"/>
      <w:color w:val="2A2A3E"/>
      <w:lang w:val="en-NZ"/>
    </w:rPr>
  </w:style>
  <w:style w:type="paragraph" w:styleId="FootnoteText">
    <w:name w:val="footnote text"/>
    <w:basedOn w:val="Normal"/>
    <w:link w:val="FootnoteTextChar"/>
    <w:uiPriority w:val="99"/>
    <w:semiHidden/>
    <w:rsid w:val="00D31C95"/>
    <w:pPr>
      <w:tabs>
        <w:tab w:val="left" w:pos="284"/>
      </w:tabs>
      <w:spacing w:before="113" w:after="0" w:line="200" w:lineRule="atLeast"/>
      <w:ind w:left="284" w:hanging="284"/>
    </w:pPr>
    <w:rPr>
      <w:sz w:val="18"/>
      <w:szCs w:val="20"/>
    </w:rPr>
  </w:style>
  <w:style w:type="character" w:customStyle="1" w:styleId="FootnoteTextChar">
    <w:name w:val="Footnote Text Char"/>
    <w:basedOn w:val="DefaultParagraphFont"/>
    <w:link w:val="FootnoteText"/>
    <w:uiPriority w:val="99"/>
    <w:semiHidden/>
    <w:rsid w:val="00D31C95"/>
    <w:rPr>
      <w:sz w:val="18"/>
      <w:szCs w:val="20"/>
      <w:lang w:val="en-NZ"/>
    </w:rPr>
  </w:style>
  <w:style w:type="character" w:styleId="FootnoteReference">
    <w:name w:val="footnote reference"/>
    <w:basedOn w:val="DefaultParagraphFont"/>
    <w:uiPriority w:val="99"/>
    <w:semiHidden/>
    <w:rsid w:val="00D31C95"/>
    <w:rPr>
      <w:vertAlign w:val="superscript"/>
    </w:rPr>
  </w:style>
  <w:style w:type="character" w:styleId="CommentReference">
    <w:name w:val="annotation reference"/>
    <w:basedOn w:val="DefaultParagraphFont"/>
    <w:uiPriority w:val="99"/>
    <w:semiHidden/>
    <w:unhideWhenUsed/>
    <w:rsid w:val="00022396"/>
    <w:rPr>
      <w:sz w:val="16"/>
      <w:szCs w:val="16"/>
    </w:rPr>
  </w:style>
  <w:style w:type="paragraph" w:styleId="CommentText">
    <w:name w:val="annotation text"/>
    <w:basedOn w:val="Normal"/>
    <w:link w:val="CommentTextChar"/>
    <w:uiPriority w:val="99"/>
    <w:semiHidden/>
    <w:unhideWhenUsed/>
    <w:rsid w:val="00022396"/>
    <w:pPr>
      <w:spacing w:line="240" w:lineRule="auto"/>
    </w:pPr>
    <w:rPr>
      <w:sz w:val="20"/>
      <w:szCs w:val="20"/>
    </w:rPr>
  </w:style>
  <w:style w:type="character" w:customStyle="1" w:styleId="CommentTextChar">
    <w:name w:val="Comment Text Char"/>
    <w:basedOn w:val="DefaultParagraphFont"/>
    <w:link w:val="CommentText"/>
    <w:uiPriority w:val="99"/>
    <w:semiHidden/>
    <w:rsid w:val="00022396"/>
    <w:rPr>
      <w:sz w:val="20"/>
      <w:szCs w:val="20"/>
      <w:lang w:val="en-NZ"/>
    </w:rPr>
  </w:style>
  <w:style w:type="paragraph" w:styleId="CommentSubject">
    <w:name w:val="annotation subject"/>
    <w:basedOn w:val="CommentText"/>
    <w:next w:val="CommentText"/>
    <w:link w:val="CommentSubjectChar"/>
    <w:uiPriority w:val="99"/>
    <w:semiHidden/>
    <w:unhideWhenUsed/>
    <w:rsid w:val="00022396"/>
    <w:rPr>
      <w:b/>
      <w:bCs/>
    </w:rPr>
  </w:style>
  <w:style w:type="character" w:customStyle="1" w:styleId="CommentSubjectChar">
    <w:name w:val="Comment Subject Char"/>
    <w:basedOn w:val="CommentTextChar"/>
    <w:link w:val="CommentSubject"/>
    <w:uiPriority w:val="99"/>
    <w:semiHidden/>
    <w:rsid w:val="00022396"/>
    <w:rPr>
      <w:b/>
      <w:bCs/>
      <w:sz w:val="20"/>
      <w:szCs w:val="20"/>
      <w:lang w:val="en-NZ"/>
    </w:rPr>
  </w:style>
  <w:style w:type="paragraph" w:customStyle="1" w:styleId="SWATableBodyText">
    <w:name w:val="SWA Table Body Text"/>
    <w:basedOn w:val="Normal"/>
    <w:rsid w:val="005B7314"/>
    <w:pPr>
      <w:spacing w:before="85" w:after="113" w:line="260" w:lineRule="atLeast"/>
    </w:pPr>
    <w:rPr>
      <w:color w:val="2A2A3E" w:themeColor="text2"/>
      <w:sz w:val="20"/>
      <w:szCs w:val="22"/>
      <w:lang w:eastAsia="en-NZ"/>
    </w:rPr>
  </w:style>
  <w:style w:type="paragraph" w:customStyle="1" w:styleId="SWATablefootnote">
    <w:name w:val="SWA Table footnote"/>
    <w:basedOn w:val="SWATableBodyText"/>
    <w:rsid w:val="002C6179"/>
    <w:pPr>
      <w:spacing w:before="0" w:after="0" w:line="240" w:lineRule="auto"/>
    </w:pPr>
  </w:style>
  <w:style w:type="paragraph" w:styleId="TOC9">
    <w:name w:val="toc 9"/>
    <w:basedOn w:val="Normal"/>
    <w:next w:val="Normal"/>
    <w:autoRedefine/>
    <w:uiPriority w:val="99"/>
    <w:unhideWhenUsed/>
    <w:rsid w:val="003074B7"/>
    <w:pPr>
      <w:spacing w:after="0"/>
      <w:ind w:left="1920"/>
    </w:pPr>
    <w:rPr>
      <w:rFonts w:cstheme="minorHAnsi"/>
      <w:sz w:val="20"/>
      <w:szCs w:val="20"/>
    </w:rPr>
  </w:style>
  <w:style w:type="table" w:customStyle="1" w:styleId="Table2Orange">
    <w:name w:val="Table 2 Orange"/>
    <w:basedOn w:val="SIATable1BLUE"/>
    <w:uiPriority w:val="99"/>
    <w:rsid w:val="001E27D0"/>
    <w:tblPr/>
    <w:tblStylePr w:type="firstRow">
      <w:rPr>
        <w:rFonts w:ascii="Arial" w:hAnsi="Arial"/>
        <w:b/>
        <w:i w:val="0"/>
        <w:color w:val="E8731B"/>
        <w:sz w:val="20"/>
      </w:rPr>
      <w:tblPr/>
      <w:tcPr>
        <w:tcBorders>
          <w:top w:val="single" w:sz="8" w:space="0" w:color="E8731B"/>
          <w:bottom w:val="single" w:sz="8" w:space="0" w:color="E8731B"/>
        </w:tcBorders>
      </w:tcPr>
    </w:tblStylePr>
    <w:tblStylePr w:type="band1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tblStylePr w:type="band2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style>
  <w:style w:type="character" w:styleId="PageNumber">
    <w:name w:val="page number"/>
    <w:basedOn w:val="DefaultParagraphFont"/>
    <w:uiPriority w:val="94"/>
    <w:semiHidden/>
    <w:unhideWhenUsed/>
    <w:rsid w:val="00252BCD"/>
  </w:style>
  <w:style w:type="paragraph" w:customStyle="1" w:styleId="SWAPullQuote">
    <w:name w:val="SWA Pull Quote"/>
    <w:basedOn w:val="Heading4"/>
    <w:rsid w:val="00F80054"/>
    <w:rPr>
      <w:color w:val="E8731B"/>
    </w:rPr>
  </w:style>
  <w:style w:type="table" w:styleId="PlainTable2">
    <w:name w:val="Plain Table 2"/>
    <w:basedOn w:val="TableNormal"/>
    <w:uiPriority w:val="42"/>
    <w:rsid w:val="00362DC3"/>
    <w:pPr>
      <w:spacing w:after="0" w:line="240" w:lineRule="auto"/>
    </w:pPr>
    <w:tblPr>
      <w:tblStyleRowBandSize w:val="1"/>
      <w:tblStyleColBandSize w:val="1"/>
      <w:tblBorders>
        <w:top w:val="single" w:sz="4" w:space="0" w:color="8585AC" w:themeColor="text1" w:themeTint="80"/>
        <w:bottom w:val="single" w:sz="4" w:space="0" w:color="8585AC" w:themeColor="text1" w:themeTint="80"/>
      </w:tblBorders>
    </w:tblPr>
    <w:tblStylePr w:type="firstRow">
      <w:rPr>
        <w:b/>
        <w:bCs/>
      </w:rPr>
      <w:tblPr/>
      <w:tcPr>
        <w:tcBorders>
          <w:bottom w:val="single" w:sz="4" w:space="0" w:color="8585AC" w:themeColor="text1" w:themeTint="80"/>
        </w:tcBorders>
      </w:tcPr>
    </w:tblStylePr>
    <w:tblStylePr w:type="lastRow">
      <w:rPr>
        <w:b/>
        <w:bCs/>
      </w:rPr>
      <w:tblPr/>
      <w:tcPr>
        <w:tcBorders>
          <w:top w:val="single" w:sz="4" w:space="0" w:color="8585AC" w:themeColor="text1" w:themeTint="80"/>
        </w:tcBorders>
      </w:tcPr>
    </w:tblStylePr>
    <w:tblStylePr w:type="firstCol">
      <w:rPr>
        <w:b/>
        <w:bCs/>
      </w:rPr>
    </w:tblStylePr>
    <w:tblStylePr w:type="lastCol">
      <w:rPr>
        <w:b/>
        <w:bCs/>
      </w:rPr>
    </w:tblStylePr>
    <w:tblStylePr w:type="band1Vert">
      <w:tblPr/>
      <w:tcPr>
        <w:tcBorders>
          <w:left w:val="single" w:sz="4" w:space="0" w:color="8585AC" w:themeColor="text1" w:themeTint="80"/>
          <w:right w:val="single" w:sz="4" w:space="0" w:color="8585AC" w:themeColor="text1" w:themeTint="80"/>
        </w:tcBorders>
      </w:tcPr>
    </w:tblStylePr>
    <w:tblStylePr w:type="band2Vert">
      <w:tblPr/>
      <w:tcPr>
        <w:tcBorders>
          <w:left w:val="single" w:sz="4" w:space="0" w:color="8585AC" w:themeColor="text1" w:themeTint="80"/>
          <w:right w:val="single" w:sz="4" w:space="0" w:color="8585AC" w:themeColor="text1" w:themeTint="80"/>
        </w:tcBorders>
      </w:tcPr>
    </w:tblStylePr>
    <w:tblStylePr w:type="band1Horz">
      <w:tblPr/>
      <w:tcPr>
        <w:tcBorders>
          <w:top w:val="single" w:sz="4" w:space="0" w:color="8585AC" w:themeColor="text1" w:themeTint="80"/>
          <w:bottom w:val="single" w:sz="4" w:space="0" w:color="8585AC" w:themeColor="text1" w:themeTint="80"/>
        </w:tcBorders>
      </w:tcPr>
    </w:tblStylePr>
  </w:style>
  <w:style w:type="table" w:styleId="PlainTable1">
    <w:name w:val="Plain Table 1"/>
    <w:basedOn w:val="TableNormal"/>
    <w:uiPriority w:val="41"/>
    <w:rsid w:val="00362D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3TEAL">
    <w:name w:val="Table 3 TEAL"/>
    <w:basedOn w:val="Table2Orange"/>
    <w:uiPriority w:val="99"/>
    <w:rsid w:val="001E27D0"/>
    <w:tblPr/>
    <w:tblStylePr w:type="firstRow">
      <w:rPr>
        <w:rFonts w:ascii="Arial" w:hAnsi="Arial"/>
        <w:b/>
        <w:i w:val="0"/>
        <w:color w:val="3A9CAE"/>
        <w:sz w:val="20"/>
      </w:rPr>
      <w:tblPr/>
      <w:tcPr>
        <w:tcBorders>
          <w:top w:val="single" w:sz="8" w:space="0" w:color="3A9CAE"/>
          <w:bottom w:val="single" w:sz="8" w:space="0" w:color="3A9CAE"/>
        </w:tcBorders>
      </w:tcPr>
    </w:tblStylePr>
    <w:tblStylePr w:type="band1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tblStylePr w:type="band2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style>
  <w:style w:type="table" w:customStyle="1" w:styleId="SIATable4">
    <w:name w:val="SIA Table 4"/>
    <w:basedOn w:val="TableNormal"/>
    <w:uiPriority w:val="99"/>
    <w:rsid w:val="0020403F"/>
    <w:pPr>
      <w:spacing w:before="113" w:after="113" w:line="260" w:lineRule="atLeast"/>
    </w:pPr>
    <w:rPr>
      <w:color w:val="2A2A3E" w:themeColor="text2"/>
      <w:sz w:val="20"/>
    </w:rPr>
    <w:tblPr>
      <w:tblStyleRowBandSize w:val="1"/>
      <w:tblStyleColBandSize w:val="1"/>
      <w:tblInd w:w="142" w:type="dxa"/>
      <w:tblBorders>
        <w:bottom w:val="single" w:sz="4" w:space="0" w:color="C7C9C9"/>
        <w:insideH w:val="single" w:sz="4" w:space="0" w:color="C7C9C9"/>
      </w:tblBorders>
      <w:tblCellMar>
        <w:left w:w="142" w:type="dxa"/>
        <w:right w:w="142" w:type="dxa"/>
      </w:tblCellMar>
    </w:tblPr>
    <w:tcPr>
      <w:shd w:val="clear" w:color="auto" w:fill="auto"/>
    </w:tcPr>
    <w:tblStylePr w:type="firstRow">
      <w:pPr>
        <w:wordWrap/>
        <w:spacing w:beforeLines="0" w:before="85" w:beforeAutospacing="0" w:afterLines="0" w:after="113" w:afterAutospacing="0" w:line="280" w:lineRule="atLeast"/>
      </w:pPr>
      <w:rPr>
        <w:rFonts w:asciiTheme="majorHAnsi" w:hAnsiTheme="majorHAnsi"/>
        <w:b/>
        <w:i w:val="0"/>
        <w:color w:val="FFFFFF" w:themeColor="background1"/>
      </w:rPr>
      <w:tblPr/>
      <w:tcPr>
        <w:tcBorders>
          <w:top w:val="single" w:sz="8" w:space="0" w:color="C7C9C9"/>
        </w:tcBorders>
        <w:shd w:val="clear" w:color="auto" w:fill="auto"/>
      </w:tcPr>
    </w:tblStylePr>
    <w:tblStylePr w:type="lastRow">
      <w:tblPr/>
      <w:tcPr>
        <w:tcBorders>
          <w:bottom w:val="single" w:sz="4" w:space="0" w:color="C7C9C9"/>
        </w:tcBorders>
        <w:shd w:val="clear" w:color="auto" w:fill="auto"/>
      </w:tcPr>
    </w:tblStylePr>
    <w:tblStylePr w:type="firstCol">
      <w:rPr>
        <w:b/>
      </w:rPr>
    </w:tblStylePr>
    <w:tblStylePr w:type="band1Vert">
      <w:rPr>
        <w:rFonts w:asciiTheme="minorHAnsi" w:hAnsiTheme="minorHAnsi"/>
      </w:rPr>
    </w:tblStylePr>
    <w:tblStylePr w:type="band1Horz">
      <w:tblPr/>
      <w:tcPr>
        <w:tcBorders>
          <w:insideH w:val="single" w:sz="4" w:space="0" w:color="C7C9C9"/>
        </w:tcBorders>
        <w:shd w:val="clear" w:color="auto" w:fill="auto"/>
      </w:tcPr>
    </w:tblStylePr>
    <w:tblStylePr w:type="band2Horz">
      <w:rPr>
        <w:rFonts w:asciiTheme="minorHAnsi" w:hAnsiTheme="minorHAnsi"/>
      </w:rPr>
      <w:tblPr/>
      <w:tcPr>
        <w:tcBorders>
          <w:insideH w:val="nil"/>
        </w:tcBorders>
        <w:shd w:val="clear" w:color="auto" w:fill="auto"/>
      </w:tcPr>
    </w:tblStylePr>
  </w:style>
  <w:style w:type="paragraph" w:styleId="Revision">
    <w:name w:val="Revision"/>
    <w:hidden/>
    <w:uiPriority w:val="99"/>
    <w:semiHidden/>
    <w:rsid w:val="0020403F"/>
    <w:pPr>
      <w:spacing w:after="0" w:line="240" w:lineRule="auto"/>
    </w:pPr>
    <w:rPr>
      <w:lang w:val="en-NZ"/>
    </w:rPr>
  </w:style>
  <w:style w:type="paragraph" w:styleId="Header">
    <w:name w:val="header"/>
    <w:aliases w:val="SWA Header"/>
    <w:basedOn w:val="Normal"/>
    <w:link w:val="HeaderChar"/>
    <w:uiPriority w:val="99"/>
    <w:unhideWhenUsed/>
    <w:rsid w:val="00CD0768"/>
    <w:pPr>
      <w:tabs>
        <w:tab w:val="center" w:pos="4513"/>
        <w:tab w:val="right" w:pos="9026"/>
      </w:tabs>
      <w:spacing w:after="0" w:line="240" w:lineRule="auto"/>
    </w:pPr>
  </w:style>
  <w:style w:type="character" w:customStyle="1" w:styleId="HeaderChar">
    <w:name w:val="Header Char"/>
    <w:aliases w:val="SWA Header Char"/>
    <w:basedOn w:val="DefaultParagraphFont"/>
    <w:link w:val="Header"/>
    <w:uiPriority w:val="99"/>
    <w:rsid w:val="00CD0768"/>
    <w:rPr>
      <w:lang w:val="en-NZ"/>
    </w:rPr>
  </w:style>
  <w:style w:type="character" w:customStyle="1" w:styleId="SWATickbox">
    <w:name w:val="SWA Tick box"/>
    <w:basedOn w:val="DefaultParagraphFont"/>
    <w:rsid w:val="002C0EBC"/>
    <w:rPr>
      <w:rFonts w:ascii="Segoe UI Symbol" w:hAnsi="Segoe UI Symbol"/>
      <w:sz w:val="20"/>
    </w:rPr>
  </w:style>
  <w:style w:type="character" w:styleId="Hyperlink">
    <w:name w:val="Hyperlink"/>
    <w:basedOn w:val="DefaultParagraphFont"/>
    <w:uiPriority w:val="99"/>
    <w:unhideWhenUsed/>
    <w:rsid w:val="006E3411"/>
    <w:rPr>
      <w:color w:val="26567F" w:themeColor="hyperlink"/>
      <w:u w:val="single"/>
    </w:rPr>
  </w:style>
  <w:style w:type="character" w:customStyle="1" w:styleId="UnresolvedMention1">
    <w:name w:val="Unresolved Mention1"/>
    <w:basedOn w:val="DefaultParagraphFont"/>
    <w:uiPriority w:val="99"/>
    <w:semiHidden/>
    <w:unhideWhenUsed/>
    <w:rsid w:val="006E3411"/>
    <w:rPr>
      <w:color w:val="605E5C"/>
      <w:shd w:val="clear" w:color="auto" w:fill="E1DFDD"/>
    </w:rPr>
  </w:style>
  <w:style w:type="character" w:customStyle="1" w:styleId="normaltextrun">
    <w:name w:val="normaltextrun"/>
    <w:basedOn w:val="DefaultParagraphFont"/>
    <w:rsid w:val="004D2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83639">
      <w:bodyDiv w:val="1"/>
      <w:marLeft w:val="0"/>
      <w:marRight w:val="0"/>
      <w:marTop w:val="0"/>
      <w:marBottom w:val="0"/>
      <w:divBdr>
        <w:top w:val="none" w:sz="0" w:space="0" w:color="auto"/>
        <w:left w:val="none" w:sz="0" w:space="0" w:color="auto"/>
        <w:bottom w:val="none" w:sz="0" w:space="0" w:color="auto"/>
        <w:right w:val="none" w:sz="0" w:space="0" w:color="auto"/>
      </w:divBdr>
    </w:div>
    <w:div w:id="377781602">
      <w:bodyDiv w:val="1"/>
      <w:marLeft w:val="0"/>
      <w:marRight w:val="0"/>
      <w:marTop w:val="0"/>
      <w:marBottom w:val="0"/>
      <w:divBdr>
        <w:top w:val="none" w:sz="0" w:space="0" w:color="auto"/>
        <w:left w:val="none" w:sz="0" w:space="0" w:color="auto"/>
        <w:bottom w:val="none" w:sz="0" w:space="0" w:color="auto"/>
        <w:right w:val="none" w:sz="0" w:space="0" w:color="auto"/>
      </w:divBdr>
    </w:div>
    <w:div w:id="534540706">
      <w:bodyDiv w:val="1"/>
      <w:marLeft w:val="0"/>
      <w:marRight w:val="0"/>
      <w:marTop w:val="0"/>
      <w:marBottom w:val="0"/>
      <w:divBdr>
        <w:top w:val="none" w:sz="0" w:space="0" w:color="auto"/>
        <w:left w:val="none" w:sz="0" w:space="0" w:color="auto"/>
        <w:bottom w:val="none" w:sz="0" w:space="0" w:color="auto"/>
        <w:right w:val="none" w:sz="0" w:space="0" w:color="auto"/>
      </w:divBdr>
    </w:div>
    <w:div w:id="539099266">
      <w:bodyDiv w:val="1"/>
      <w:marLeft w:val="0"/>
      <w:marRight w:val="0"/>
      <w:marTop w:val="0"/>
      <w:marBottom w:val="0"/>
      <w:divBdr>
        <w:top w:val="none" w:sz="0" w:space="0" w:color="auto"/>
        <w:left w:val="none" w:sz="0" w:space="0" w:color="auto"/>
        <w:bottom w:val="none" w:sz="0" w:space="0" w:color="auto"/>
        <w:right w:val="none" w:sz="0" w:space="0" w:color="auto"/>
      </w:divBdr>
    </w:div>
    <w:div w:id="970552912">
      <w:bodyDiv w:val="1"/>
      <w:marLeft w:val="0"/>
      <w:marRight w:val="0"/>
      <w:marTop w:val="0"/>
      <w:marBottom w:val="0"/>
      <w:divBdr>
        <w:top w:val="none" w:sz="0" w:space="0" w:color="auto"/>
        <w:left w:val="none" w:sz="0" w:space="0" w:color="auto"/>
        <w:bottom w:val="none" w:sz="0" w:space="0" w:color="auto"/>
        <w:right w:val="none" w:sz="0" w:space="0" w:color="auto"/>
      </w:divBdr>
    </w:div>
    <w:div w:id="1116482373">
      <w:bodyDiv w:val="1"/>
      <w:marLeft w:val="0"/>
      <w:marRight w:val="0"/>
      <w:marTop w:val="0"/>
      <w:marBottom w:val="0"/>
      <w:divBdr>
        <w:top w:val="none" w:sz="0" w:space="0" w:color="auto"/>
        <w:left w:val="none" w:sz="0" w:space="0" w:color="auto"/>
        <w:bottom w:val="none" w:sz="0" w:space="0" w:color="auto"/>
        <w:right w:val="none" w:sz="0" w:space="0" w:color="auto"/>
      </w:divBdr>
    </w:div>
    <w:div w:id="1390420806">
      <w:bodyDiv w:val="1"/>
      <w:marLeft w:val="0"/>
      <w:marRight w:val="0"/>
      <w:marTop w:val="0"/>
      <w:marBottom w:val="0"/>
      <w:divBdr>
        <w:top w:val="none" w:sz="0" w:space="0" w:color="auto"/>
        <w:left w:val="none" w:sz="0" w:space="0" w:color="auto"/>
        <w:bottom w:val="none" w:sz="0" w:space="0" w:color="auto"/>
        <w:right w:val="none" w:sz="0" w:space="0" w:color="auto"/>
      </w:divBdr>
    </w:div>
    <w:div w:id="1434479000">
      <w:bodyDiv w:val="1"/>
      <w:marLeft w:val="0"/>
      <w:marRight w:val="0"/>
      <w:marTop w:val="0"/>
      <w:marBottom w:val="0"/>
      <w:divBdr>
        <w:top w:val="none" w:sz="0" w:space="0" w:color="auto"/>
        <w:left w:val="none" w:sz="0" w:space="0" w:color="auto"/>
        <w:bottom w:val="none" w:sz="0" w:space="0" w:color="auto"/>
        <w:right w:val="none" w:sz="0" w:space="0" w:color="auto"/>
      </w:divBdr>
    </w:div>
    <w:div w:id="1592622280">
      <w:bodyDiv w:val="1"/>
      <w:marLeft w:val="0"/>
      <w:marRight w:val="0"/>
      <w:marTop w:val="0"/>
      <w:marBottom w:val="0"/>
      <w:divBdr>
        <w:top w:val="none" w:sz="0" w:space="0" w:color="auto"/>
        <w:left w:val="none" w:sz="0" w:space="0" w:color="auto"/>
        <w:bottom w:val="none" w:sz="0" w:space="0" w:color="auto"/>
        <w:right w:val="none" w:sz="0" w:space="0" w:color="auto"/>
      </w:divBdr>
    </w:div>
    <w:div w:id="1722435155">
      <w:bodyDiv w:val="1"/>
      <w:marLeft w:val="0"/>
      <w:marRight w:val="0"/>
      <w:marTop w:val="0"/>
      <w:marBottom w:val="0"/>
      <w:divBdr>
        <w:top w:val="none" w:sz="0" w:space="0" w:color="auto"/>
        <w:left w:val="none" w:sz="0" w:space="0" w:color="auto"/>
        <w:bottom w:val="none" w:sz="0" w:space="0" w:color="auto"/>
        <w:right w:val="none" w:sz="0" w:space="0" w:color="auto"/>
      </w:divBdr>
    </w:div>
    <w:div w:id="172740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hyperlink" Target="https://www.health.govt.nz/your-health/services-and-support/disability-services"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hyperlink" Target="https://www.odi.govt.nz/assets/Uploads/Information-Sheet-Washington-Group-Short-Set-of-Questions-on-Disability2.pdf" TargetMode="External"/><Relationship Id="rId38" Type="http://schemas.openxmlformats.org/officeDocument/2006/relationships/hyperlink" Target="https://www.stats.govt.nz/integrated-data/" TargetMode="Externa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hyperlink" Target="https://ehinz.ac.nz/indicators/population-vulnerability/socioeconomic-deprivation-profile/"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hyperlink" Target="https://www.education.govt.nz/school/student-support/special-education/ors/criteria-for-ors/" TargetMode="Externa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hyperlink" Target="https://www.washingtongroup-disability.com/resources/frequently-asked-questions/short-set/" TargetMode="External"/><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oga008\Downloads\Template_Stationery_Briefing.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orp.ssi.govt.nz\userss\sbade001\Documents\Shaan_my_docs_backup\Vax_IDI\Disability%20analysis\DPO\Disability_analysis_11March2022_clean%20-%20appendix%20A&amp;B_butchered.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orp.ssi.govt.nz\userss\sbade001\Documents\Shaan_my_docs_backup\Vax_IDI\Disability%20analysis\DPO\Disability_analysis_11March2022_clean%20-%20appendix%20A&amp;B_butchered.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orp.ssi.govt.nz\userss\sbade001\Documents\Shaan_my_docs_backup\Vax_IDI\Disability%20analysis\DPO\Disability_analysis_11March2022_clean%20-%20appendix%20A&amp;B_butchered.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corp.ssi.govt.nz\userss\sbade001\Documents\Shaan_my_docs_backup\Vax_IDI\Disability%20analysis\DPO\Disability_analysis_11March2022_clean%20-%20appendix%20A&amp;B_butchered.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orp.ssi.govt.nz\userss\sbade001\Documents\Shaan_my_docs_backup\Vax_IDI\Disability%20analysis\DPO\Disability_analysis_11March2022_clean%20-%20appendix%20A&amp;B_butchered.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orp.ssi.govt.nz\userss\sbade001\Documents\Shaan_my_docs_backup\Vax_IDI\Disability%20analysis\DPO\Disability_analysis_21March2022_clean_pivots_v2_SB.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orp.ssi.govt.nz\userss\sbade001\Documents\Shaan_my_docs_backup\Vax_IDI\Disability%20analysis\DPO\Disability_analysis_21March2022_clean_pivots_v2_SB.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orp.ssi.govt.nz\userss\sbade001\Documents\Shaan_my_docs_backup\Vax_IDI\Disability%20analysis\DPO\Disability_analysis_21March2022_clean_pivots_v2_SB.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orp.ssi.govt.nz\userss\sbade001\Documents\Shaan_my_docs_backup\Vax_IDI\Disability%20analysis\DPO\Disability_analysis_21March2022_clean_pivots_v2_SB.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orp.ssi.govt.nz\userss\sbade001\Documents\Shaan_my_docs_backup\Vax_IDI\Disability%20analysis\DPO\Disability_analysis_21March2022_clean_pivots_v2_SB.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orp.ssi.govt.nz\userss\sbade001\Documents\Shaan_my_docs_backup\Vax_IDI\Disability%20analysis\DPO\Disability_analysis_21March2022_clean_pivots_v2_SB.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orp.ssi.govt.nz\userss\sbade001\Documents\Shaan_my_docs_backup\Vax_IDI\Disability%20analysis\DPO\Disability_analysis_11March2022_clean%20-%20appendix%20A&amp;B_butchered.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orp.ssi.govt.nz\userss\sbade001\Documents\Shaan_my_docs_backup\Vax_IDI\Disability%20analysis\DPO\Disability_analysis_21March2022_clean_pivots_v2_SB.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orp.ssi.govt.nz\userss\sbade001\Documents\Shaan_my_docs_backup\Vax_IDI\Disability%20analysis\DPO\Disability_analysis_21March2022_clean_pivots_v2_SB.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orp.ssi.govt.nz\userss\sbade001\Documents\Shaan_my_docs_backup\Vax_IDI\Disability%20analysis\DPO\Disability_analysis_21March2022_clean_pivots_v2_SB.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orp.ssi.govt.nz\userss\sbade001\Documents\Shaan_my_docs_backup\Vax_IDI\Disability%20analysis\DPO\Disability_analysis_21March2022_clean_pivots_v2_SB.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orp.ssi.govt.nz\userss\sbade001\Documents\Shaan_my_docs_backup\Vax_IDI\Disability%20analysis\DPO\Disability_analysis_21March2022_clean_pivots_v2_SB.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orp.ssi.govt.nz\userss\sbade001\Documents\Shaan_my_docs_backup\Vax_IDI\Disability%20analysis\DPO\Disability_analysis_21March2022_clean_pivots_v2_SB.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orp.ssi.govt.nz\userss\sbade001\Documents\Shaan_my_docs_backup\Vax_IDI\Disability%20analysis\DPO\Disability_analysis_11March2022_clean%20-%20appendix%20A&amp;B_butchered.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orp.ssi.govt.nz\userss\sbade001\Documents\Shaan_my_docs_backup\Vax_IDI\Disability%20analysis\DPO\Disability_analysis_11March2022_clean%20-%20appendix%20A&amp;B_butchered.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orp.ssi.govt.nz\userss\sbade001\Documents\Shaan_my_docs_backup\Vax_IDI\Disability%20analysis\DPO\Disability_analysis_11March2022_clean%20-%20appendix%20A&amp;B_butchered.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orp.ssi.govt.nz\userss\sbade001\Documents\Shaan_my_docs_backup\Vax_IDI\Disability%20analysis\DPO\Disability_analysis_11March2022_clean%20-%20appendix%20A&amp;B_butchered.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orp.ssi.govt.nz\userss\sbade001\Documents\Shaan_my_docs_backup\Vax_IDI\Disability%20analysis\DPO\Disability_analysis_11March2022_clean%20-%20appendix%20A&amp;B_butchered.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orp.ssi.govt.nz\userss\sbade001\Documents\Shaan_my_docs_backup\Vax_IDI\Disability%20analysis\DPO\Disability_analysis_11March2022_clean%20-%20appendix%20A&amp;B_butchered.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orp.ssi.govt.nz\userss\sbade001\Documents\Shaan_my_docs_backup\Vax_IDI\Disability%20analysis\DPO\Disability_analysis_11March2022_clean%20-%20appendix%20A&amp;B_butcher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200" b="0" i="0" u="none" strike="noStrike" kern="1200" spc="0" baseline="0">
                <a:solidFill>
                  <a:sysClr val="windowText" lastClr="000000"/>
                </a:solidFill>
                <a:latin typeface="+mn-lt"/>
                <a:ea typeface="+mn-ea"/>
                <a:cs typeface="+mn-cs"/>
              </a:defRPr>
            </a:pPr>
            <a:r>
              <a:rPr lang="en-NZ"/>
              <a:t>Vaccination status by disability status and total ethnicity</a:t>
            </a:r>
          </a:p>
        </c:rich>
      </c:tx>
      <c:overlay val="0"/>
      <c:spPr>
        <a:noFill/>
        <a:ln>
          <a:noFill/>
        </a:ln>
        <a:effectLst/>
      </c:spPr>
      <c:txPr>
        <a:bodyPr rot="0" spcFirstLastPara="1" vertOverflow="ellipsis" vert="horz" wrap="square" anchor="ctr" anchorCtr="1"/>
        <a:lstStyle/>
        <a:p>
          <a:pPr>
            <a:defRPr lang="en-US" sz="12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strRef>
              <c:f>Adult_tables_charts!$P$2</c:f>
              <c:strCache>
                <c:ptCount val="1"/>
                <c:pt idx="0">
                  <c:v>Three or more doses</c:v>
                </c:pt>
              </c:strCache>
            </c:strRef>
          </c:tx>
          <c:spPr>
            <a:solidFill>
              <a:srgbClr val="F7B735"/>
            </a:solidFill>
            <a:ln>
              <a:noFill/>
            </a:ln>
            <a:effectLst/>
          </c:spPr>
          <c:invertIfNegative val="0"/>
          <c:cat>
            <c:multiLvlStrRef>
              <c:f>Adult_tables_charts!$N$3:$O$16</c:f>
              <c:multiLvlStrCache>
                <c:ptCount val="14"/>
                <c:lvl>
                  <c:pt idx="0">
                    <c:v>Non-disabled</c:v>
                  </c:pt>
                  <c:pt idx="1">
                    <c:v>Disabled</c:v>
                  </c:pt>
                  <c:pt idx="2">
                    <c:v>Non-disabled</c:v>
                  </c:pt>
                  <c:pt idx="3">
                    <c:v>Disabled</c:v>
                  </c:pt>
                  <c:pt idx="4">
                    <c:v>Non-disabled</c:v>
                  </c:pt>
                  <c:pt idx="5">
                    <c:v>Disabled</c:v>
                  </c:pt>
                  <c:pt idx="6">
                    <c:v>Non-disabled</c:v>
                  </c:pt>
                  <c:pt idx="7">
                    <c:v>Disabled</c:v>
                  </c:pt>
                  <c:pt idx="8">
                    <c:v>Non-disabled</c:v>
                  </c:pt>
                  <c:pt idx="9">
                    <c:v>Disabled</c:v>
                  </c:pt>
                  <c:pt idx="10">
                    <c:v>Non-disabled</c:v>
                  </c:pt>
                  <c:pt idx="11">
                    <c:v>Disabled</c:v>
                  </c:pt>
                  <c:pt idx="12">
                    <c:v>Non-disabled</c:v>
                  </c:pt>
                  <c:pt idx="13">
                    <c:v>Disabled</c:v>
                  </c:pt>
                </c:lvl>
                <c:lvl>
                  <c:pt idx="0">
                    <c:v>All</c:v>
                  </c:pt>
                  <c:pt idx="2">
                    <c:v>European</c:v>
                  </c:pt>
                  <c:pt idx="4">
                    <c:v>Maori</c:v>
                  </c:pt>
                  <c:pt idx="6">
                    <c:v>Pacific</c:v>
                  </c:pt>
                  <c:pt idx="8">
                    <c:v>Asian</c:v>
                  </c:pt>
                  <c:pt idx="10">
                    <c:v>MELAA</c:v>
                  </c:pt>
                  <c:pt idx="12">
                    <c:v>Other</c:v>
                  </c:pt>
                </c:lvl>
              </c:multiLvlStrCache>
            </c:multiLvlStrRef>
          </c:cat>
          <c:val>
            <c:numRef>
              <c:f>Adult_tables_charts!$P$3:$P$16</c:f>
              <c:numCache>
                <c:formatCode>0.0%</c:formatCode>
                <c:ptCount val="14"/>
                <c:pt idx="0">
                  <c:v>0.48392463502890654</c:v>
                </c:pt>
                <c:pt idx="1">
                  <c:v>0.66198757981983969</c:v>
                </c:pt>
                <c:pt idx="2">
                  <c:v>0.51885864681868676</c:v>
                </c:pt>
                <c:pt idx="3">
                  <c:v>0.68333592607572879</c:v>
                </c:pt>
                <c:pt idx="4">
                  <c:v>0.28474873563890429</c:v>
                </c:pt>
                <c:pt idx="5">
                  <c:v>0.49343250514321885</c:v>
                </c:pt>
                <c:pt idx="6">
                  <c:v>0.3133478887569951</c:v>
                </c:pt>
                <c:pt idx="7">
                  <c:v>0.49745107712547276</c:v>
                </c:pt>
                <c:pt idx="8">
                  <c:v>0.52451845711220557</c:v>
                </c:pt>
                <c:pt idx="9">
                  <c:v>0.6402375026239242</c:v>
                </c:pt>
                <c:pt idx="10">
                  <c:v>0.4107661380388653</c:v>
                </c:pt>
                <c:pt idx="11">
                  <c:v>0.51897510273144787</c:v>
                </c:pt>
                <c:pt idx="12">
                  <c:v>0.49613890354453449</c:v>
                </c:pt>
                <c:pt idx="13">
                  <c:v>0.65044959772834832</c:v>
                </c:pt>
              </c:numCache>
            </c:numRef>
          </c:val>
          <c:extLst>
            <c:ext xmlns:c16="http://schemas.microsoft.com/office/drawing/2014/chart" uri="{C3380CC4-5D6E-409C-BE32-E72D297353CC}">
              <c16:uniqueId val="{00000000-4E54-423A-8E1E-2EC298513F36}"/>
            </c:ext>
          </c:extLst>
        </c:ser>
        <c:ser>
          <c:idx val="1"/>
          <c:order val="1"/>
          <c:tx>
            <c:strRef>
              <c:f>Adult_tables_charts!$Q$2</c:f>
              <c:strCache>
                <c:ptCount val="1"/>
                <c:pt idx="0">
                  <c:v>Two doses</c:v>
                </c:pt>
              </c:strCache>
            </c:strRef>
          </c:tx>
          <c:spPr>
            <a:solidFill>
              <a:srgbClr val="26567F"/>
            </a:solidFill>
            <a:ln>
              <a:noFill/>
            </a:ln>
            <a:effectLst/>
          </c:spPr>
          <c:invertIfNegative val="0"/>
          <c:cat>
            <c:multiLvlStrRef>
              <c:f>Adult_tables_charts!$N$3:$O$16</c:f>
              <c:multiLvlStrCache>
                <c:ptCount val="14"/>
                <c:lvl>
                  <c:pt idx="0">
                    <c:v>Non-disabled</c:v>
                  </c:pt>
                  <c:pt idx="1">
                    <c:v>Disabled</c:v>
                  </c:pt>
                  <c:pt idx="2">
                    <c:v>Non-disabled</c:v>
                  </c:pt>
                  <c:pt idx="3">
                    <c:v>Disabled</c:v>
                  </c:pt>
                  <c:pt idx="4">
                    <c:v>Non-disabled</c:v>
                  </c:pt>
                  <c:pt idx="5">
                    <c:v>Disabled</c:v>
                  </c:pt>
                  <c:pt idx="6">
                    <c:v>Non-disabled</c:v>
                  </c:pt>
                  <c:pt idx="7">
                    <c:v>Disabled</c:v>
                  </c:pt>
                  <c:pt idx="8">
                    <c:v>Non-disabled</c:v>
                  </c:pt>
                  <c:pt idx="9">
                    <c:v>Disabled</c:v>
                  </c:pt>
                  <c:pt idx="10">
                    <c:v>Non-disabled</c:v>
                  </c:pt>
                  <c:pt idx="11">
                    <c:v>Disabled</c:v>
                  </c:pt>
                  <c:pt idx="12">
                    <c:v>Non-disabled</c:v>
                  </c:pt>
                  <c:pt idx="13">
                    <c:v>Disabled</c:v>
                  </c:pt>
                </c:lvl>
                <c:lvl>
                  <c:pt idx="0">
                    <c:v>All</c:v>
                  </c:pt>
                  <c:pt idx="2">
                    <c:v>European</c:v>
                  </c:pt>
                  <c:pt idx="4">
                    <c:v>Maori</c:v>
                  </c:pt>
                  <c:pt idx="6">
                    <c:v>Pacific</c:v>
                  </c:pt>
                  <c:pt idx="8">
                    <c:v>Asian</c:v>
                  </c:pt>
                  <c:pt idx="10">
                    <c:v>MELAA</c:v>
                  </c:pt>
                  <c:pt idx="12">
                    <c:v>Other</c:v>
                  </c:pt>
                </c:lvl>
              </c:multiLvlStrCache>
            </c:multiLvlStrRef>
          </c:cat>
          <c:val>
            <c:numRef>
              <c:f>Adult_tables_charts!$Q$3:$Q$16</c:f>
              <c:numCache>
                <c:formatCode>0.0%</c:formatCode>
                <c:ptCount val="14"/>
                <c:pt idx="0">
                  <c:v>0.37631835553891868</c:v>
                </c:pt>
                <c:pt idx="1">
                  <c:v>0.25359581013219945</c:v>
                </c:pt>
                <c:pt idx="2">
                  <c:v>0.35019138112791054</c:v>
                </c:pt>
                <c:pt idx="3">
                  <c:v>0.23567094987710402</c:v>
                </c:pt>
                <c:pt idx="4">
                  <c:v>0.50198497383576457</c:v>
                </c:pt>
                <c:pt idx="5">
                  <c:v>0.37629371736034184</c:v>
                </c:pt>
                <c:pt idx="6">
                  <c:v>0.52146218416143797</c:v>
                </c:pt>
                <c:pt idx="7">
                  <c:v>0.39331524420325603</c:v>
                </c:pt>
                <c:pt idx="8">
                  <c:v>0.39226117910957237</c:v>
                </c:pt>
                <c:pt idx="9">
                  <c:v>0.29148049299787088</c:v>
                </c:pt>
                <c:pt idx="10">
                  <c:v>0.43492666219938947</c:v>
                </c:pt>
                <c:pt idx="11">
                  <c:v>0.38602852308436064</c:v>
                </c:pt>
                <c:pt idx="12">
                  <c:v>0.34898556285673171</c:v>
                </c:pt>
                <c:pt idx="13">
                  <c:v>0.24666351159488878</c:v>
                </c:pt>
              </c:numCache>
            </c:numRef>
          </c:val>
          <c:extLst>
            <c:ext xmlns:c16="http://schemas.microsoft.com/office/drawing/2014/chart" uri="{C3380CC4-5D6E-409C-BE32-E72D297353CC}">
              <c16:uniqueId val="{00000001-4E54-423A-8E1E-2EC298513F36}"/>
            </c:ext>
          </c:extLst>
        </c:ser>
        <c:ser>
          <c:idx val="2"/>
          <c:order val="2"/>
          <c:tx>
            <c:strRef>
              <c:f>Adult_tables_charts!$R$2</c:f>
              <c:strCache>
                <c:ptCount val="1"/>
                <c:pt idx="0">
                  <c:v>One dose</c:v>
                </c:pt>
              </c:strCache>
            </c:strRef>
          </c:tx>
          <c:spPr>
            <a:solidFill>
              <a:srgbClr val="E8731B"/>
            </a:solidFill>
            <a:ln>
              <a:noFill/>
            </a:ln>
            <a:effectLst/>
          </c:spPr>
          <c:invertIfNegative val="0"/>
          <c:cat>
            <c:multiLvlStrRef>
              <c:f>Adult_tables_charts!$N$3:$O$16</c:f>
              <c:multiLvlStrCache>
                <c:ptCount val="14"/>
                <c:lvl>
                  <c:pt idx="0">
                    <c:v>Non-disabled</c:v>
                  </c:pt>
                  <c:pt idx="1">
                    <c:v>Disabled</c:v>
                  </c:pt>
                  <c:pt idx="2">
                    <c:v>Non-disabled</c:v>
                  </c:pt>
                  <c:pt idx="3">
                    <c:v>Disabled</c:v>
                  </c:pt>
                  <c:pt idx="4">
                    <c:v>Non-disabled</c:v>
                  </c:pt>
                  <c:pt idx="5">
                    <c:v>Disabled</c:v>
                  </c:pt>
                  <c:pt idx="6">
                    <c:v>Non-disabled</c:v>
                  </c:pt>
                  <c:pt idx="7">
                    <c:v>Disabled</c:v>
                  </c:pt>
                  <c:pt idx="8">
                    <c:v>Non-disabled</c:v>
                  </c:pt>
                  <c:pt idx="9">
                    <c:v>Disabled</c:v>
                  </c:pt>
                  <c:pt idx="10">
                    <c:v>Non-disabled</c:v>
                  </c:pt>
                  <c:pt idx="11">
                    <c:v>Disabled</c:v>
                  </c:pt>
                  <c:pt idx="12">
                    <c:v>Non-disabled</c:v>
                  </c:pt>
                  <c:pt idx="13">
                    <c:v>Disabled</c:v>
                  </c:pt>
                </c:lvl>
                <c:lvl>
                  <c:pt idx="0">
                    <c:v>All</c:v>
                  </c:pt>
                  <c:pt idx="2">
                    <c:v>European</c:v>
                  </c:pt>
                  <c:pt idx="4">
                    <c:v>Maori</c:v>
                  </c:pt>
                  <c:pt idx="6">
                    <c:v>Pacific</c:v>
                  </c:pt>
                  <c:pt idx="8">
                    <c:v>Asian</c:v>
                  </c:pt>
                  <c:pt idx="10">
                    <c:v>MELAA</c:v>
                  </c:pt>
                  <c:pt idx="12">
                    <c:v>Other</c:v>
                  </c:pt>
                </c:lvl>
              </c:multiLvlStrCache>
            </c:multiLvlStrRef>
          </c:cat>
          <c:val>
            <c:numRef>
              <c:f>Adult_tables_charts!$R$3:$R$16</c:f>
              <c:numCache>
                <c:formatCode>0.0%</c:formatCode>
                <c:ptCount val="14"/>
                <c:pt idx="0">
                  <c:v>2.108814300304547E-2</c:v>
                </c:pt>
                <c:pt idx="1">
                  <c:v>1.2089242780174845E-2</c:v>
                </c:pt>
                <c:pt idx="2">
                  <c:v>1.9306499883261049E-2</c:v>
                </c:pt>
                <c:pt idx="3">
                  <c:v>1.1051305186521887E-2</c:v>
                </c:pt>
                <c:pt idx="4">
                  <c:v>3.9793024819481396E-2</c:v>
                </c:pt>
                <c:pt idx="5">
                  <c:v>2.2266181357809781E-2</c:v>
                </c:pt>
                <c:pt idx="6">
                  <c:v>3.2209174156350689E-2</c:v>
                </c:pt>
                <c:pt idx="7">
                  <c:v>1.9815819766485776E-2</c:v>
                </c:pt>
                <c:pt idx="8">
                  <c:v>1.2868776515336227E-2</c:v>
                </c:pt>
                <c:pt idx="9">
                  <c:v>1.034575823912196E-2</c:v>
                </c:pt>
                <c:pt idx="10">
                  <c:v>2.0921748194475467E-2</c:v>
                </c:pt>
                <c:pt idx="11">
                  <c:v>1.5228426395939087E-2</c:v>
                </c:pt>
                <c:pt idx="12">
                  <c:v>1.9041680656146576E-2</c:v>
                </c:pt>
                <c:pt idx="13">
                  <c:v>1.3345953620444865E-2</c:v>
                </c:pt>
              </c:numCache>
            </c:numRef>
          </c:val>
          <c:extLst>
            <c:ext xmlns:c16="http://schemas.microsoft.com/office/drawing/2014/chart" uri="{C3380CC4-5D6E-409C-BE32-E72D297353CC}">
              <c16:uniqueId val="{00000002-4E54-423A-8E1E-2EC298513F36}"/>
            </c:ext>
          </c:extLst>
        </c:ser>
        <c:ser>
          <c:idx val="3"/>
          <c:order val="3"/>
          <c:tx>
            <c:strRef>
              <c:f>Adult_tables_charts!$S$2</c:f>
              <c:strCache>
                <c:ptCount val="1"/>
                <c:pt idx="0">
                  <c:v>No doses</c:v>
                </c:pt>
              </c:strCache>
            </c:strRef>
          </c:tx>
          <c:spPr>
            <a:solidFill>
              <a:srgbClr val="3A9CAE"/>
            </a:solidFill>
            <a:ln>
              <a:noFill/>
            </a:ln>
            <a:effectLst/>
          </c:spPr>
          <c:invertIfNegative val="0"/>
          <c:cat>
            <c:multiLvlStrRef>
              <c:f>Adult_tables_charts!$N$3:$O$16</c:f>
              <c:multiLvlStrCache>
                <c:ptCount val="14"/>
                <c:lvl>
                  <c:pt idx="0">
                    <c:v>Non-disabled</c:v>
                  </c:pt>
                  <c:pt idx="1">
                    <c:v>Disabled</c:v>
                  </c:pt>
                  <c:pt idx="2">
                    <c:v>Non-disabled</c:v>
                  </c:pt>
                  <c:pt idx="3">
                    <c:v>Disabled</c:v>
                  </c:pt>
                  <c:pt idx="4">
                    <c:v>Non-disabled</c:v>
                  </c:pt>
                  <c:pt idx="5">
                    <c:v>Disabled</c:v>
                  </c:pt>
                  <c:pt idx="6">
                    <c:v>Non-disabled</c:v>
                  </c:pt>
                  <c:pt idx="7">
                    <c:v>Disabled</c:v>
                  </c:pt>
                  <c:pt idx="8">
                    <c:v>Non-disabled</c:v>
                  </c:pt>
                  <c:pt idx="9">
                    <c:v>Disabled</c:v>
                  </c:pt>
                  <c:pt idx="10">
                    <c:v>Non-disabled</c:v>
                  </c:pt>
                  <c:pt idx="11">
                    <c:v>Disabled</c:v>
                  </c:pt>
                  <c:pt idx="12">
                    <c:v>Non-disabled</c:v>
                  </c:pt>
                  <c:pt idx="13">
                    <c:v>Disabled</c:v>
                  </c:pt>
                </c:lvl>
                <c:lvl>
                  <c:pt idx="0">
                    <c:v>All</c:v>
                  </c:pt>
                  <c:pt idx="2">
                    <c:v>European</c:v>
                  </c:pt>
                  <c:pt idx="4">
                    <c:v>Maori</c:v>
                  </c:pt>
                  <c:pt idx="6">
                    <c:v>Pacific</c:v>
                  </c:pt>
                  <c:pt idx="8">
                    <c:v>Asian</c:v>
                  </c:pt>
                  <c:pt idx="10">
                    <c:v>MELAA</c:v>
                  </c:pt>
                  <c:pt idx="12">
                    <c:v>Other</c:v>
                  </c:pt>
                </c:lvl>
              </c:multiLvlStrCache>
            </c:multiLvlStrRef>
          </c:cat>
          <c:val>
            <c:numRef>
              <c:f>Adult_tables_charts!$S$3:$S$16</c:f>
              <c:numCache>
                <c:formatCode>0.0%</c:formatCode>
                <c:ptCount val="14"/>
                <c:pt idx="0">
                  <c:v>0.11866886642912929</c:v>
                </c:pt>
                <c:pt idx="1">
                  <c:v>7.2327367267786005E-2</c:v>
                </c:pt>
                <c:pt idx="2">
                  <c:v>0.11164347217014171</c:v>
                </c:pt>
                <c:pt idx="3">
                  <c:v>6.994181886064528E-2</c:v>
                </c:pt>
                <c:pt idx="4">
                  <c:v>0.17347326570584967</c:v>
                </c:pt>
                <c:pt idx="5">
                  <c:v>0.10800759613862954</c:v>
                </c:pt>
                <c:pt idx="6">
                  <c:v>0.13298075292521622</c:v>
                </c:pt>
                <c:pt idx="7">
                  <c:v>8.9417858904785402E-2</c:v>
                </c:pt>
                <c:pt idx="8">
                  <c:v>7.0351587262885845E-2</c:v>
                </c:pt>
                <c:pt idx="9">
                  <c:v>5.7936246139082978E-2</c:v>
                </c:pt>
                <c:pt idx="10">
                  <c:v>0.13338545156726975</c:v>
                </c:pt>
                <c:pt idx="11">
                  <c:v>7.9767947788252358E-2</c:v>
                </c:pt>
                <c:pt idx="12">
                  <c:v>0.13583385294258718</c:v>
                </c:pt>
                <c:pt idx="13">
                  <c:v>8.9540937056318035E-2</c:v>
                </c:pt>
              </c:numCache>
            </c:numRef>
          </c:val>
          <c:extLst>
            <c:ext xmlns:c16="http://schemas.microsoft.com/office/drawing/2014/chart" uri="{C3380CC4-5D6E-409C-BE32-E72D297353CC}">
              <c16:uniqueId val="{00000003-4E54-423A-8E1E-2EC298513F36}"/>
            </c:ext>
          </c:extLst>
        </c:ser>
        <c:dLbls>
          <c:showLegendKey val="0"/>
          <c:showVal val="0"/>
          <c:showCatName val="0"/>
          <c:showSerName val="0"/>
          <c:showPercent val="0"/>
          <c:showBubbleSize val="0"/>
        </c:dLbls>
        <c:gapWidth val="150"/>
        <c:overlap val="100"/>
        <c:axId val="1009134112"/>
        <c:axId val="1009131368"/>
      </c:barChart>
      <c:catAx>
        <c:axId val="100913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crossAx val="1009131368"/>
        <c:crosses val="autoZero"/>
        <c:auto val="1"/>
        <c:lblAlgn val="ctr"/>
        <c:lblOffset val="100"/>
        <c:noMultiLvlLbl val="0"/>
      </c:catAx>
      <c:valAx>
        <c:axId val="100913136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en-NZ"/>
                  <a:t>Percentage of people</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crossAx val="1009134112"/>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ctr">
        <a:defRPr lang="en-US" sz="1000" b="0" i="0" u="none" strike="noStrike" kern="1200" baseline="0">
          <a:solidFill>
            <a:sysClr val="windowText" lastClr="000000"/>
          </a:solidFill>
          <a:latin typeface="+mn-lt"/>
          <a:ea typeface="+mn-ea"/>
          <a:cs typeface="+mn-cs"/>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[Disability_analysis_11March2022_clean - appendix A&amp;B_butchered.xlsx]Children_tables_charts!PivotTable6</c:name>
    <c:fmtId val="-1"/>
  </c:pivotSource>
  <c:chart>
    <c:title>
      <c:tx>
        <c:rich>
          <a:bodyPr rot="0" vert="horz"/>
          <a:lstStyle/>
          <a:p>
            <a:pPr>
              <a:defRPr sz="1200" b="0"/>
            </a:pPr>
            <a:r>
              <a:rPr lang="en-NZ" sz="1200" b="0"/>
              <a:t>% of children aged 5-11 vaccinated by disability status across upper North Island DHBs</a:t>
            </a:r>
          </a:p>
        </c:rich>
      </c:tx>
      <c:overlay val="0"/>
      <c:spPr>
        <a:noFill/>
        <a:ln>
          <a:noFill/>
        </a:ln>
        <a:effectLst/>
      </c:spPr>
    </c:title>
    <c:autoTitleDeleted val="0"/>
    <c:pivotFmts>
      <c:pivotFmt>
        <c:idx val="0"/>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1"/>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2"/>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3"/>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4"/>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5"/>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6"/>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7"/>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8"/>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9"/>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10"/>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11"/>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12"/>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13"/>
        <c:spPr>
          <a:solidFill>
            <a:srgbClr val="F7B735"/>
          </a:solidFill>
          <a:ln>
            <a:noFill/>
          </a:ln>
          <a:effectLst/>
        </c:spPr>
        <c:marker>
          <c:symbol val="none"/>
        </c:marker>
        <c:dLbl>
          <c:idx val="0"/>
          <c:delete val="1"/>
          <c:extLst>
            <c:ext xmlns:c15="http://schemas.microsoft.com/office/drawing/2012/chart" uri="{CE6537A1-D6FC-4f65-9D91-7224C49458BB}"/>
          </c:extLst>
        </c:dLbl>
      </c:pivotFmt>
    </c:pivotFmts>
    <c:plotArea>
      <c:layout/>
      <c:barChart>
        <c:barDir val="col"/>
        <c:grouping val="clustered"/>
        <c:varyColors val="0"/>
        <c:ser>
          <c:idx val="0"/>
          <c:order val="0"/>
          <c:tx>
            <c:strRef>
              <c:f>Children_tables_charts!$Y$23</c:f>
              <c:strCache>
                <c:ptCount val="1"/>
                <c:pt idx="0">
                  <c:v>Non-disabled</c:v>
                </c:pt>
              </c:strCache>
            </c:strRef>
          </c:tx>
          <c:spPr>
            <a:solidFill>
              <a:srgbClr val="26567F"/>
            </a:solidFill>
            <a:ln>
              <a:noFill/>
            </a:ln>
            <a:effectLst/>
          </c:spPr>
          <c:invertIfNegative val="0"/>
          <c:cat>
            <c:strRef>
              <c:f>Children_tables_charts!$X$24:$X$32</c:f>
              <c:strCache>
                <c:ptCount val="8"/>
                <c:pt idx="0">
                  <c:v>All DHBs</c:v>
                </c:pt>
                <c:pt idx="1">
                  <c:v>Northland</c:v>
                </c:pt>
                <c:pt idx="2">
                  <c:v>Auckland</c:v>
                </c:pt>
                <c:pt idx="3">
                  <c:v>Waitemata</c:v>
                </c:pt>
                <c:pt idx="4">
                  <c:v>Counties Manukau</c:v>
                </c:pt>
                <c:pt idx="5">
                  <c:v>Bay of Plenty</c:v>
                </c:pt>
                <c:pt idx="6">
                  <c:v>Waikato</c:v>
                </c:pt>
                <c:pt idx="7">
                  <c:v>Tairawhiti</c:v>
                </c:pt>
              </c:strCache>
            </c:strRef>
          </c:cat>
          <c:val>
            <c:numRef>
              <c:f>Children_tables_charts!$Y$24:$Y$32</c:f>
              <c:numCache>
                <c:formatCode>0%</c:formatCode>
                <c:ptCount val="8"/>
                <c:pt idx="0">
                  <c:v>0.51842337846755981</c:v>
                </c:pt>
                <c:pt idx="1">
                  <c:v>0.30457654595375061</c:v>
                </c:pt>
                <c:pt idx="2">
                  <c:v>0.66153174638748169</c:v>
                </c:pt>
                <c:pt idx="3">
                  <c:v>0.59410840272903442</c:v>
                </c:pt>
                <c:pt idx="4">
                  <c:v>0.53528392314910889</c:v>
                </c:pt>
                <c:pt idx="5">
                  <c:v>0.37706854939460754</c:v>
                </c:pt>
                <c:pt idx="6">
                  <c:v>0.43405145406723022</c:v>
                </c:pt>
                <c:pt idx="7">
                  <c:v>0.41352009773254395</c:v>
                </c:pt>
              </c:numCache>
            </c:numRef>
          </c:val>
          <c:extLst>
            <c:ext xmlns:c16="http://schemas.microsoft.com/office/drawing/2014/chart" uri="{C3380CC4-5D6E-409C-BE32-E72D297353CC}">
              <c16:uniqueId val="{00000000-616C-4692-BF55-0C99C4FB2F15}"/>
            </c:ext>
          </c:extLst>
        </c:ser>
        <c:ser>
          <c:idx val="1"/>
          <c:order val="1"/>
          <c:tx>
            <c:strRef>
              <c:f>Children_tables_charts!$Z$23</c:f>
              <c:strCache>
                <c:ptCount val="1"/>
                <c:pt idx="0">
                  <c:v>Disabled</c:v>
                </c:pt>
              </c:strCache>
            </c:strRef>
          </c:tx>
          <c:spPr>
            <a:solidFill>
              <a:srgbClr val="F7B735"/>
            </a:solidFill>
            <a:ln>
              <a:noFill/>
            </a:ln>
            <a:effectLst/>
          </c:spPr>
          <c:invertIfNegative val="0"/>
          <c:cat>
            <c:strRef>
              <c:f>Children_tables_charts!$X$24:$X$32</c:f>
              <c:strCache>
                <c:ptCount val="8"/>
                <c:pt idx="0">
                  <c:v>All DHBs</c:v>
                </c:pt>
                <c:pt idx="1">
                  <c:v>Northland</c:v>
                </c:pt>
                <c:pt idx="2">
                  <c:v>Auckland</c:v>
                </c:pt>
                <c:pt idx="3">
                  <c:v>Waitemata</c:v>
                </c:pt>
                <c:pt idx="4">
                  <c:v>Counties Manukau</c:v>
                </c:pt>
                <c:pt idx="5">
                  <c:v>Bay of Plenty</c:v>
                </c:pt>
                <c:pt idx="6">
                  <c:v>Waikato</c:v>
                </c:pt>
                <c:pt idx="7">
                  <c:v>Tairawhiti</c:v>
                </c:pt>
              </c:strCache>
            </c:strRef>
          </c:cat>
          <c:val>
            <c:numRef>
              <c:f>Children_tables_charts!$Z$24:$Z$32</c:f>
              <c:numCache>
                <c:formatCode>0%</c:formatCode>
                <c:ptCount val="8"/>
                <c:pt idx="0">
                  <c:v>0.53959596157073975</c:v>
                </c:pt>
                <c:pt idx="1">
                  <c:v>0.33928570151329041</c:v>
                </c:pt>
                <c:pt idx="2">
                  <c:v>0.67055392265319824</c:v>
                </c:pt>
                <c:pt idx="3">
                  <c:v>0.61201143264770508</c:v>
                </c:pt>
                <c:pt idx="4">
                  <c:v>0.54341316223144531</c:v>
                </c:pt>
                <c:pt idx="5">
                  <c:v>0.41978022456169128</c:v>
                </c:pt>
                <c:pt idx="6">
                  <c:v>0.47740113735198975</c:v>
                </c:pt>
                <c:pt idx="7">
                  <c:v>0.46666666865348816</c:v>
                </c:pt>
              </c:numCache>
            </c:numRef>
          </c:val>
          <c:extLst>
            <c:ext xmlns:c16="http://schemas.microsoft.com/office/drawing/2014/chart" uri="{C3380CC4-5D6E-409C-BE32-E72D297353CC}">
              <c16:uniqueId val="{00000001-616C-4692-BF55-0C99C4FB2F15}"/>
            </c:ext>
          </c:extLst>
        </c:ser>
        <c:dLbls>
          <c:showLegendKey val="0"/>
          <c:showVal val="0"/>
          <c:showCatName val="0"/>
          <c:showSerName val="0"/>
          <c:showPercent val="0"/>
          <c:showBubbleSize val="0"/>
        </c:dLbls>
        <c:gapWidth val="219"/>
        <c:overlap val="-27"/>
        <c:axId val="1013902368"/>
        <c:axId val="1013904720"/>
      </c:barChart>
      <c:catAx>
        <c:axId val="101390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013904720"/>
        <c:crosses val="autoZero"/>
        <c:auto val="1"/>
        <c:lblAlgn val="ctr"/>
        <c:lblOffset val="100"/>
        <c:noMultiLvlLbl val="0"/>
      </c:catAx>
      <c:valAx>
        <c:axId val="1013904720"/>
        <c:scaling>
          <c:orientation val="minMax"/>
          <c:max val="0.8"/>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en-NZ" b="0"/>
                  <a:t>% vaccinated (1+ doses)</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1013902368"/>
        <c:crosses val="autoZero"/>
        <c:crossBetween val="between"/>
        <c:majorUnit val="0.2"/>
      </c:valAx>
    </c:plotArea>
    <c:legend>
      <c:legendPos val="t"/>
      <c:overlay val="0"/>
      <c:spPr>
        <a:noFill/>
        <a:ln>
          <a:noFill/>
        </a:ln>
        <a:effectLst/>
      </c:spPr>
      <c:txPr>
        <a:bodyPr rot="0" vert="horz"/>
        <a:lstStyle/>
        <a:p>
          <a:pPr>
            <a:defRPr/>
          </a:pPr>
          <a:endParaRPr lang="en-US"/>
        </a:p>
      </c:txPr>
    </c:legend>
    <c:plotVisOnly val="1"/>
    <c:dispBlanksAs val="gap"/>
    <c:showDLblsOverMax val="0"/>
    <c:extLst/>
  </c:chart>
  <c:spPr>
    <a:ln>
      <a:noFill/>
    </a:ln>
  </c:spPr>
  <c:txPr>
    <a:bodyPr/>
    <a:lstStyle/>
    <a:p>
      <a:pPr>
        <a:defRPr>
          <a:solidFill>
            <a:sysClr val="windowText" lastClr="000000"/>
          </a:solidFill>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[Disability_analysis_11March2022_clean - appendix A&amp;B_butchered.xlsx]Children_tables_charts!PivotTable7</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NZ"/>
              <a:t>% of children aged 5-11 vaccinated by disability status across lower North Island DHBs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Children_tables_charts!$Y$34</c:f>
              <c:strCache>
                <c:ptCount val="1"/>
                <c:pt idx="0">
                  <c:v>Non-disabled</c:v>
                </c:pt>
              </c:strCache>
            </c:strRef>
          </c:tx>
          <c:spPr>
            <a:solidFill>
              <a:srgbClr val="26567F"/>
            </a:solidFill>
            <a:ln>
              <a:noFill/>
            </a:ln>
            <a:effectLst/>
          </c:spPr>
          <c:invertIfNegative val="0"/>
          <c:cat>
            <c:strRef>
              <c:f>Children_tables_charts!$X$35:$X$44</c:f>
              <c:strCache>
                <c:ptCount val="9"/>
                <c:pt idx="0">
                  <c:v>All DHBs</c:v>
                </c:pt>
                <c:pt idx="1">
                  <c:v>Lakes</c:v>
                </c:pt>
                <c:pt idx="2">
                  <c:v>Taranaki</c:v>
                </c:pt>
                <c:pt idx="3">
                  <c:v>Hawke's Bay</c:v>
                </c:pt>
                <c:pt idx="4">
                  <c:v>Whanganui</c:v>
                </c:pt>
                <c:pt idx="5">
                  <c:v>MidCentral</c:v>
                </c:pt>
                <c:pt idx="6">
                  <c:v>Hutt Valley</c:v>
                </c:pt>
                <c:pt idx="7">
                  <c:v>Capital and Coast</c:v>
                </c:pt>
                <c:pt idx="8">
                  <c:v>Wairarapa</c:v>
                </c:pt>
              </c:strCache>
            </c:strRef>
          </c:cat>
          <c:val>
            <c:numRef>
              <c:f>Children_tables_charts!$Y$35:$Y$44</c:f>
              <c:numCache>
                <c:formatCode>0%</c:formatCode>
                <c:ptCount val="9"/>
                <c:pt idx="0">
                  <c:v>0.51842337846755981</c:v>
                </c:pt>
                <c:pt idx="1">
                  <c:v>0.37905728816986084</c:v>
                </c:pt>
                <c:pt idx="2">
                  <c:v>0.42144772410392761</c:v>
                </c:pt>
                <c:pt idx="3">
                  <c:v>0.40810027718544006</c:v>
                </c:pt>
                <c:pt idx="4">
                  <c:v>0.35901385545730591</c:v>
                </c:pt>
                <c:pt idx="5">
                  <c:v>0.46877396106719971</c:v>
                </c:pt>
                <c:pt idx="6">
                  <c:v>0.62265026569366455</c:v>
                </c:pt>
                <c:pt idx="7">
                  <c:v>0.68335515260696411</c:v>
                </c:pt>
                <c:pt idx="8">
                  <c:v>0.4682731032371521</c:v>
                </c:pt>
              </c:numCache>
            </c:numRef>
          </c:val>
          <c:extLst>
            <c:ext xmlns:c16="http://schemas.microsoft.com/office/drawing/2014/chart" uri="{C3380CC4-5D6E-409C-BE32-E72D297353CC}">
              <c16:uniqueId val="{00000000-99D4-4C40-8045-9F25E2BD5744}"/>
            </c:ext>
          </c:extLst>
        </c:ser>
        <c:ser>
          <c:idx val="1"/>
          <c:order val="1"/>
          <c:tx>
            <c:strRef>
              <c:f>Children_tables_charts!$Z$34</c:f>
              <c:strCache>
                <c:ptCount val="1"/>
                <c:pt idx="0">
                  <c:v>Disabled</c:v>
                </c:pt>
              </c:strCache>
            </c:strRef>
          </c:tx>
          <c:spPr>
            <a:solidFill>
              <a:srgbClr val="F7B735"/>
            </a:solidFill>
            <a:ln>
              <a:noFill/>
            </a:ln>
            <a:effectLst/>
          </c:spPr>
          <c:invertIfNegative val="0"/>
          <c:cat>
            <c:strRef>
              <c:f>Children_tables_charts!$X$35:$X$44</c:f>
              <c:strCache>
                <c:ptCount val="9"/>
                <c:pt idx="0">
                  <c:v>All DHBs</c:v>
                </c:pt>
                <c:pt idx="1">
                  <c:v>Lakes</c:v>
                </c:pt>
                <c:pt idx="2">
                  <c:v>Taranaki</c:v>
                </c:pt>
                <c:pt idx="3">
                  <c:v>Hawke's Bay</c:v>
                </c:pt>
                <c:pt idx="4">
                  <c:v>Whanganui</c:v>
                </c:pt>
                <c:pt idx="5">
                  <c:v>MidCentral</c:v>
                </c:pt>
                <c:pt idx="6">
                  <c:v>Hutt Valley</c:v>
                </c:pt>
                <c:pt idx="7">
                  <c:v>Capital and Coast</c:v>
                </c:pt>
                <c:pt idx="8">
                  <c:v>Wairarapa</c:v>
                </c:pt>
              </c:strCache>
            </c:strRef>
          </c:cat>
          <c:val>
            <c:numRef>
              <c:f>Children_tables_charts!$Z$35:$Z$44</c:f>
              <c:numCache>
                <c:formatCode>0%</c:formatCode>
                <c:ptCount val="9"/>
                <c:pt idx="0">
                  <c:v>0.53959596157073975</c:v>
                </c:pt>
                <c:pt idx="1">
                  <c:v>0.41991341114044189</c:v>
                </c:pt>
                <c:pt idx="2">
                  <c:v>0.46372240781784058</c:v>
                </c:pt>
                <c:pt idx="3">
                  <c:v>0.44192636013031006</c:v>
                </c:pt>
                <c:pt idx="4">
                  <c:v>0.44897958636283875</c:v>
                </c:pt>
                <c:pt idx="5">
                  <c:v>0.51508122682571411</c:v>
                </c:pt>
                <c:pt idx="6">
                  <c:v>0.64769649505615234</c:v>
                </c:pt>
                <c:pt idx="7">
                  <c:v>0.66003614664077759</c:v>
                </c:pt>
                <c:pt idx="8">
                  <c:v>0.51818180084228516</c:v>
                </c:pt>
              </c:numCache>
            </c:numRef>
          </c:val>
          <c:extLst>
            <c:ext xmlns:c16="http://schemas.microsoft.com/office/drawing/2014/chart" uri="{C3380CC4-5D6E-409C-BE32-E72D297353CC}">
              <c16:uniqueId val="{00000001-99D4-4C40-8045-9F25E2BD5744}"/>
            </c:ext>
          </c:extLst>
        </c:ser>
        <c:dLbls>
          <c:showLegendKey val="0"/>
          <c:showVal val="0"/>
          <c:showCatName val="0"/>
          <c:showSerName val="0"/>
          <c:showPercent val="0"/>
          <c:showBubbleSize val="0"/>
        </c:dLbls>
        <c:gapWidth val="219"/>
        <c:overlap val="-27"/>
        <c:axId val="1013905504"/>
        <c:axId val="1013902760"/>
      </c:barChart>
      <c:catAx>
        <c:axId val="101390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13902760"/>
        <c:crosses val="autoZero"/>
        <c:auto val="1"/>
        <c:lblAlgn val="ctr"/>
        <c:lblOffset val="100"/>
        <c:noMultiLvlLbl val="0"/>
      </c:catAx>
      <c:valAx>
        <c:axId val="1013902760"/>
        <c:scaling>
          <c:orientation val="minMax"/>
          <c:max val="0.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a:t>% vaccinated (1+ doses)</a:t>
                </a:r>
              </a:p>
            </c:rich>
          </c:tx>
          <c:layout>
            <c:manualLayout>
              <c:xMode val="edge"/>
              <c:yMode val="edge"/>
              <c:x val="2.4374030578329271E-2"/>
              <c:y val="0.336398846403903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13905504"/>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[Disability_analysis_11March2022_clean - appendix A&amp;B_butchered.xlsx]Children_tables_charts!PivotTable8</c:name>
    <c:fmtId val="-1"/>
  </c:pivotSource>
  <c:chart>
    <c:title>
      <c:tx>
        <c:rich>
          <a:bodyPr rot="0" vert="horz"/>
          <a:lstStyle/>
          <a:p>
            <a:pPr>
              <a:defRPr sz="1200" b="0"/>
            </a:pPr>
            <a:r>
              <a:rPr lang="en-NZ" sz="1200" b="0"/>
              <a:t>% of children aged 5-11 vaccinated by disability status across South Island DHBs</a:t>
            </a:r>
          </a:p>
        </c:rich>
      </c:tx>
      <c:overlay val="0"/>
      <c:spPr>
        <a:noFill/>
        <a:ln>
          <a:noFill/>
        </a:ln>
        <a:effectLst/>
      </c:spPr>
    </c:title>
    <c:autoTitleDeleted val="0"/>
    <c:pivotFmts>
      <c:pivotFmt>
        <c:idx val="0"/>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1"/>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2"/>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3"/>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4"/>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5"/>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6"/>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7"/>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8"/>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9"/>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10"/>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11"/>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12"/>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13"/>
        <c:spPr>
          <a:solidFill>
            <a:srgbClr val="F7B735"/>
          </a:solidFill>
          <a:ln>
            <a:noFill/>
          </a:ln>
          <a:effectLst/>
        </c:spPr>
        <c:marker>
          <c:symbol val="none"/>
        </c:marker>
        <c:dLbl>
          <c:idx val="0"/>
          <c:delete val="1"/>
          <c:extLst>
            <c:ext xmlns:c15="http://schemas.microsoft.com/office/drawing/2012/chart" uri="{CE6537A1-D6FC-4f65-9D91-7224C49458BB}"/>
          </c:extLst>
        </c:dLbl>
      </c:pivotFmt>
    </c:pivotFmts>
    <c:plotArea>
      <c:layout/>
      <c:barChart>
        <c:barDir val="col"/>
        <c:grouping val="clustered"/>
        <c:varyColors val="0"/>
        <c:ser>
          <c:idx val="0"/>
          <c:order val="0"/>
          <c:tx>
            <c:strRef>
              <c:f>Children_tables_charts!$Y$46</c:f>
              <c:strCache>
                <c:ptCount val="1"/>
                <c:pt idx="0">
                  <c:v>Non-disabled</c:v>
                </c:pt>
              </c:strCache>
            </c:strRef>
          </c:tx>
          <c:spPr>
            <a:solidFill>
              <a:srgbClr val="26567F"/>
            </a:solidFill>
            <a:ln>
              <a:noFill/>
            </a:ln>
            <a:effectLst/>
          </c:spPr>
          <c:invertIfNegative val="0"/>
          <c:cat>
            <c:strRef>
              <c:f>Children_tables_charts!$X$47:$X$53</c:f>
              <c:strCache>
                <c:ptCount val="6"/>
                <c:pt idx="0">
                  <c:v>All DHBs</c:v>
                </c:pt>
                <c:pt idx="1">
                  <c:v>Nelson Marlborough</c:v>
                </c:pt>
                <c:pt idx="2">
                  <c:v>West Coast</c:v>
                </c:pt>
                <c:pt idx="3">
                  <c:v>Canterbury</c:v>
                </c:pt>
                <c:pt idx="4">
                  <c:v>South Canterbury</c:v>
                </c:pt>
                <c:pt idx="5">
                  <c:v>Southern</c:v>
                </c:pt>
              </c:strCache>
            </c:strRef>
          </c:cat>
          <c:val>
            <c:numRef>
              <c:f>Children_tables_charts!$Y$47:$Y$53</c:f>
              <c:numCache>
                <c:formatCode>0%</c:formatCode>
                <c:ptCount val="6"/>
                <c:pt idx="0">
                  <c:v>0.51842337846755981</c:v>
                </c:pt>
                <c:pt idx="1">
                  <c:v>0.508780837059021</c:v>
                </c:pt>
                <c:pt idx="2">
                  <c:v>0.40554156899452209</c:v>
                </c:pt>
                <c:pt idx="3">
                  <c:v>0.56600826978683472</c:v>
                </c:pt>
                <c:pt idx="4">
                  <c:v>0.48646906018257141</c:v>
                </c:pt>
                <c:pt idx="5">
                  <c:v>0.52973955869674683</c:v>
                </c:pt>
              </c:numCache>
            </c:numRef>
          </c:val>
          <c:extLst>
            <c:ext xmlns:c16="http://schemas.microsoft.com/office/drawing/2014/chart" uri="{C3380CC4-5D6E-409C-BE32-E72D297353CC}">
              <c16:uniqueId val="{00000000-CE00-4E56-9DCA-CF32E329DC6F}"/>
            </c:ext>
          </c:extLst>
        </c:ser>
        <c:ser>
          <c:idx val="1"/>
          <c:order val="1"/>
          <c:tx>
            <c:strRef>
              <c:f>Children_tables_charts!$Z$46</c:f>
              <c:strCache>
                <c:ptCount val="1"/>
                <c:pt idx="0">
                  <c:v>Disabled</c:v>
                </c:pt>
              </c:strCache>
            </c:strRef>
          </c:tx>
          <c:spPr>
            <a:solidFill>
              <a:srgbClr val="F7B735"/>
            </a:solidFill>
            <a:ln>
              <a:noFill/>
            </a:ln>
            <a:effectLst/>
          </c:spPr>
          <c:invertIfNegative val="0"/>
          <c:cat>
            <c:strRef>
              <c:f>Children_tables_charts!$X$47:$X$53</c:f>
              <c:strCache>
                <c:ptCount val="6"/>
                <c:pt idx="0">
                  <c:v>All DHBs</c:v>
                </c:pt>
                <c:pt idx="1">
                  <c:v>Nelson Marlborough</c:v>
                </c:pt>
                <c:pt idx="2">
                  <c:v>West Coast</c:v>
                </c:pt>
                <c:pt idx="3">
                  <c:v>Canterbury</c:v>
                </c:pt>
                <c:pt idx="4">
                  <c:v>South Canterbury</c:v>
                </c:pt>
                <c:pt idx="5">
                  <c:v>Southern</c:v>
                </c:pt>
              </c:strCache>
            </c:strRef>
          </c:cat>
          <c:val>
            <c:numRef>
              <c:f>Children_tables_charts!$Z$47:$Z$53</c:f>
              <c:numCache>
                <c:formatCode>0%</c:formatCode>
                <c:ptCount val="6"/>
                <c:pt idx="0">
                  <c:v>0.53959596157073975</c:v>
                </c:pt>
                <c:pt idx="1">
                  <c:v>0.54125410318374634</c:v>
                </c:pt>
                <c:pt idx="2">
                  <c:v>0.48387095332145691</c:v>
                </c:pt>
                <c:pt idx="3">
                  <c:v>0.58869397640228271</c:v>
                </c:pt>
                <c:pt idx="4">
                  <c:v>0.51260507106781006</c:v>
                </c:pt>
                <c:pt idx="5">
                  <c:v>0.55508476495742798</c:v>
                </c:pt>
              </c:numCache>
            </c:numRef>
          </c:val>
          <c:extLst>
            <c:ext xmlns:c16="http://schemas.microsoft.com/office/drawing/2014/chart" uri="{C3380CC4-5D6E-409C-BE32-E72D297353CC}">
              <c16:uniqueId val="{00000001-CE00-4E56-9DCA-CF32E329DC6F}"/>
            </c:ext>
          </c:extLst>
        </c:ser>
        <c:dLbls>
          <c:showLegendKey val="0"/>
          <c:showVal val="0"/>
          <c:showCatName val="0"/>
          <c:showSerName val="0"/>
          <c:showPercent val="0"/>
          <c:showBubbleSize val="0"/>
        </c:dLbls>
        <c:gapWidth val="219"/>
        <c:overlap val="-27"/>
        <c:axId val="562684176"/>
        <c:axId val="562683784"/>
      </c:barChart>
      <c:catAx>
        <c:axId val="56268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62683784"/>
        <c:crosses val="autoZero"/>
        <c:auto val="1"/>
        <c:lblAlgn val="ctr"/>
        <c:lblOffset val="100"/>
        <c:noMultiLvlLbl val="0"/>
      </c:catAx>
      <c:valAx>
        <c:axId val="562683784"/>
        <c:scaling>
          <c:orientation val="minMax"/>
          <c:max val="0.8"/>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en-NZ" b="0"/>
                  <a:t>% vaccinated (1+ doses)</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562684176"/>
        <c:crosses val="autoZero"/>
        <c:crossBetween val="between"/>
        <c:majorUnit val="0.2"/>
      </c:valAx>
    </c:plotArea>
    <c:legend>
      <c:legendPos val="t"/>
      <c:overlay val="0"/>
      <c:spPr>
        <a:noFill/>
        <a:ln>
          <a:noFill/>
        </a:ln>
        <a:effectLst/>
      </c:spPr>
      <c:txPr>
        <a:bodyPr rot="0" vert="horz"/>
        <a:lstStyle/>
        <a:p>
          <a:pPr>
            <a:defRPr/>
          </a:pPr>
          <a:endParaRPr lang="en-US"/>
        </a:p>
      </c:txPr>
    </c:legend>
    <c:plotVisOnly val="1"/>
    <c:dispBlanksAs val="gap"/>
    <c:showDLblsOverMax val="0"/>
    <c:extLst/>
  </c:chart>
  <c:spPr>
    <a:ln>
      <a:noFill/>
    </a:ln>
  </c:spPr>
  <c:txPr>
    <a:bodyPr/>
    <a:lstStyle/>
    <a:p>
      <a:pPr>
        <a:defRPr>
          <a:solidFill>
            <a:sysClr val="windowText" lastClr="000000"/>
          </a:solidFill>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[Disability_analysis_11March2022_clean - appendix A&amp;B_butchered.xlsx]Children_tables_charts!PivotTable9</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NZ"/>
              <a:t>% of children aged 5-11 vaccinated by disability status and NZ Deprivation Index</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Children_tables_charts!$M$71:$M$72</c:f>
              <c:strCache>
                <c:ptCount val="1"/>
                <c:pt idx="0">
                  <c:v>Non-disabled</c:v>
                </c:pt>
              </c:strCache>
            </c:strRef>
          </c:tx>
          <c:spPr>
            <a:solidFill>
              <a:srgbClr val="26567F"/>
            </a:solidFill>
            <a:ln>
              <a:noFill/>
            </a:ln>
            <a:effectLst/>
          </c:spPr>
          <c:invertIfNegative val="0"/>
          <c:cat>
            <c:strRef>
              <c:f>Children_tables_charts!$L$73:$L$83</c:f>
              <c:strCache>
                <c:ptCount val="10"/>
                <c:pt idx="0">
                  <c:v>1</c:v>
                </c:pt>
                <c:pt idx="1">
                  <c:v>2</c:v>
                </c:pt>
                <c:pt idx="2">
                  <c:v>3</c:v>
                </c:pt>
                <c:pt idx="3">
                  <c:v>4</c:v>
                </c:pt>
                <c:pt idx="4">
                  <c:v>5</c:v>
                </c:pt>
                <c:pt idx="5">
                  <c:v>6</c:v>
                </c:pt>
                <c:pt idx="6">
                  <c:v>7</c:v>
                </c:pt>
                <c:pt idx="7">
                  <c:v>8</c:v>
                </c:pt>
                <c:pt idx="8">
                  <c:v>9</c:v>
                </c:pt>
                <c:pt idx="9">
                  <c:v>10</c:v>
                </c:pt>
              </c:strCache>
            </c:strRef>
          </c:cat>
          <c:val>
            <c:numRef>
              <c:f>Children_tables_charts!$M$73:$M$83</c:f>
              <c:numCache>
                <c:formatCode>0%</c:formatCode>
                <c:ptCount val="10"/>
                <c:pt idx="0">
                  <c:v>0.68869394063949585</c:v>
                </c:pt>
                <c:pt idx="1">
                  <c:v>0.64182507991790771</c:v>
                </c:pt>
                <c:pt idx="2">
                  <c:v>0.61079591512680054</c:v>
                </c:pt>
                <c:pt idx="3">
                  <c:v>0.58831256628036499</c:v>
                </c:pt>
                <c:pt idx="4">
                  <c:v>0.56198740005493164</c:v>
                </c:pt>
                <c:pt idx="5">
                  <c:v>0.51449555158615112</c:v>
                </c:pt>
                <c:pt idx="6">
                  <c:v>0.48267495632171631</c:v>
                </c:pt>
                <c:pt idx="7">
                  <c:v>0.45408964157104492</c:v>
                </c:pt>
                <c:pt idx="8">
                  <c:v>0.40179970860481262</c:v>
                </c:pt>
                <c:pt idx="9">
                  <c:v>0.33508321642875671</c:v>
                </c:pt>
              </c:numCache>
            </c:numRef>
          </c:val>
          <c:extLst>
            <c:ext xmlns:c16="http://schemas.microsoft.com/office/drawing/2014/chart" uri="{C3380CC4-5D6E-409C-BE32-E72D297353CC}">
              <c16:uniqueId val="{00000000-747F-4BF3-87C1-737E0A86F0DA}"/>
            </c:ext>
          </c:extLst>
        </c:ser>
        <c:ser>
          <c:idx val="1"/>
          <c:order val="1"/>
          <c:tx>
            <c:strRef>
              <c:f>Children_tables_charts!$N$71:$N$72</c:f>
              <c:strCache>
                <c:ptCount val="1"/>
                <c:pt idx="0">
                  <c:v>Disabled</c:v>
                </c:pt>
              </c:strCache>
            </c:strRef>
          </c:tx>
          <c:spPr>
            <a:solidFill>
              <a:srgbClr val="F7B735"/>
            </a:solidFill>
            <a:ln>
              <a:noFill/>
            </a:ln>
            <a:effectLst/>
          </c:spPr>
          <c:invertIfNegative val="0"/>
          <c:cat>
            <c:strRef>
              <c:f>Children_tables_charts!$L$73:$L$83</c:f>
              <c:strCache>
                <c:ptCount val="10"/>
                <c:pt idx="0">
                  <c:v>1</c:v>
                </c:pt>
                <c:pt idx="1">
                  <c:v>2</c:v>
                </c:pt>
                <c:pt idx="2">
                  <c:v>3</c:v>
                </c:pt>
                <c:pt idx="3">
                  <c:v>4</c:v>
                </c:pt>
                <c:pt idx="4">
                  <c:v>5</c:v>
                </c:pt>
                <c:pt idx="5">
                  <c:v>6</c:v>
                </c:pt>
                <c:pt idx="6">
                  <c:v>7</c:v>
                </c:pt>
                <c:pt idx="7">
                  <c:v>8</c:v>
                </c:pt>
                <c:pt idx="8">
                  <c:v>9</c:v>
                </c:pt>
                <c:pt idx="9">
                  <c:v>10</c:v>
                </c:pt>
              </c:strCache>
            </c:strRef>
          </c:cat>
          <c:val>
            <c:numRef>
              <c:f>Children_tables_charts!$N$73:$N$83</c:f>
              <c:numCache>
                <c:formatCode>0%</c:formatCode>
                <c:ptCount val="10"/>
                <c:pt idx="0">
                  <c:v>0.72450333833694458</c:v>
                </c:pt>
                <c:pt idx="1">
                  <c:v>0.65394401550292969</c:v>
                </c:pt>
                <c:pt idx="2">
                  <c:v>0.63001292943954468</c:v>
                </c:pt>
                <c:pt idx="3">
                  <c:v>0.60379594564437866</c:v>
                </c:pt>
                <c:pt idx="4">
                  <c:v>0.59858322143554688</c:v>
                </c:pt>
                <c:pt idx="5">
                  <c:v>0.54918920993804932</c:v>
                </c:pt>
                <c:pt idx="6">
                  <c:v>0.5359606146812439</c:v>
                </c:pt>
                <c:pt idx="7">
                  <c:v>0.4981343150138855</c:v>
                </c:pt>
                <c:pt idx="8">
                  <c:v>0.44865718483924866</c:v>
                </c:pt>
                <c:pt idx="9">
                  <c:v>0.38604077696800232</c:v>
                </c:pt>
              </c:numCache>
            </c:numRef>
          </c:val>
          <c:extLst>
            <c:ext xmlns:c16="http://schemas.microsoft.com/office/drawing/2014/chart" uri="{C3380CC4-5D6E-409C-BE32-E72D297353CC}">
              <c16:uniqueId val="{00000001-747F-4BF3-87C1-737E0A86F0DA}"/>
            </c:ext>
          </c:extLst>
        </c:ser>
        <c:dLbls>
          <c:showLegendKey val="0"/>
          <c:showVal val="0"/>
          <c:showCatName val="0"/>
          <c:showSerName val="0"/>
          <c:showPercent val="0"/>
          <c:showBubbleSize val="0"/>
        </c:dLbls>
        <c:gapWidth val="219"/>
        <c:overlap val="-27"/>
        <c:axId val="562681824"/>
        <c:axId val="562686528"/>
      </c:barChart>
      <c:catAx>
        <c:axId val="56268182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a:t>NZ Deprivation Index (10 indicates high deprivation areas)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62686528"/>
        <c:crosses val="autoZero"/>
        <c:auto val="1"/>
        <c:lblAlgn val="ctr"/>
        <c:lblOffset val="100"/>
        <c:noMultiLvlLbl val="0"/>
      </c:catAx>
      <c:valAx>
        <c:axId val="562686528"/>
        <c:scaling>
          <c:orientation val="minMax"/>
          <c:max val="0.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a:t>% vaccinated (1+ doses)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62681824"/>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[Disability_analysis_21March2022_clean_pivots_v2_SB.xlsx]Sheet1!PivotTable13</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NZ"/>
              <a:t>Vaccination status by disability status and number of GP contacts between Feb 2020 and Feb 2021 - 12 years and older</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Sheet1!$AE$62:$AE$63</c:f>
              <c:strCache>
                <c:ptCount val="1"/>
                <c:pt idx="0">
                  <c:v>Three or more doses</c:v>
                </c:pt>
              </c:strCache>
            </c:strRef>
          </c:tx>
          <c:spPr>
            <a:solidFill>
              <a:srgbClr val="F7B735"/>
            </a:solidFill>
            <a:ln>
              <a:noFill/>
            </a:ln>
            <a:effectLst/>
          </c:spPr>
          <c:invertIfNegative val="0"/>
          <c:cat>
            <c:multiLvlStrRef>
              <c:f>Sheet1!$AD$64:$AD$88</c:f>
              <c:multiLvlStrCache>
                <c:ptCount val="22"/>
                <c:lvl>
                  <c:pt idx="0">
                    <c:v>0</c:v>
                  </c:pt>
                  <c:pt idx="1">
                    <c:v>1</c:v>
                  </c:pt>
                  <c:pt idx="2">
                    <c:v>2</c:v>
                  </c:pt>
                  <c:pt idx="3">
                    <c:v>3</c:v>
                  </c:pt>
                  <c:pt idx="4">
                    <c:v>4</c:v>
                  </c:pt>
                  <c:pt idx="5">
                    <c:v>5</c:v>
                  </c:pt>
                  <c:pt idx="6">
                    <c:v>6</c:v>
                  </c:pt>
                  <c:pt idx="7">
                    <c:v>7</c:v>
                  </c:pt>
                  <c:pt idx="8">
                    <c:v>8</c:v>
                  </c:pt>
                  <c:pt idx="9">
                    <c:v>9</c:v>
                  </c:pt>
                  <c:pt idx="10">
                    <c:v>10+</c:v>
                  </c:pt>
                  <c:pt idx="11">
                    <c:v>0</c:v>
                  </c:pt>
                  <c:pt idx="12">
                    <c:v>1</c:v>
                  </c:pt>
                  <c:pt idx="13">
                    <c:v>2</c:v>
                  </c:pt>
                  <c:pt idx="14">
                    <c:v>3</c:v>
                  </c:pt>
                  <c:pt idx="15">
                    <c:v>4</c:v>
                  </c:pt>
                  <c:pt idx="16">
                    <c:v>5</c:v>
                  </c:pt>
                  <c:pt idx="17">
                    <c:v>6</c:v>
                  </c:pt>
                  <c:pt idx="18">
                    <c:v>7</c:v>
                  </c:pt>
                  <c:pt idx="19">
                    <c:v>8</c:v>
                  </c:pt>
                  <c:pt idx="20">
                    <c:v>9</c:v>
                  </c:pt>
                  <c:pt idx="21">
                    <c:v>10+</c:v>
                  </c:pt>
                </c:lvl>
                <c:lvl>
                  <c:pt idx="0">
                    <c:v>Non-disabled</c:v>
                  </c:pt>
                  <c:pt idx="11">
                    <c:v>Disabled</c:v>
                  </c:pt>
                </c:lvl>
              </c:multiLvlStrCache>
            </c:multiLvlStrRef>
          </c:cat>
          <c:val>
            <c:numRef>
              <c:f>Sheet1!$AE$64:$AE$88</c:f>
              <c:numCache>
                <c:formatCode>0%</c:formatCode>
                <c:ptCount val="22"/>
                <c:pt idx="0">
                  <c:v>0.32429704889004463</c:v>
                </c:pt>
                <c:pt idx="1">
                  <c:v>0.4345266849158213</c:v>
                </c:pt>
                <c:pt idx="2">
                  <c:v>0.48566135713868952</c:v>
                </c:pt>
                <c:pt idx="3">
                  <c:v>0.53510311143270617</c:v>
                </c:pt>
                <c:pt idx="4">
                  <c:v>0.5867487148538113</c:v>
                </c:pt>
                <c:pt idx="5">
                  <c:v>0.62930082177017377</c:v>
                </c:pt>
                <c:pt idx="6">
                  <c:v>0.65935931107180501</c:v>
                </c:pt>
                <c:pt idx="7">
                  <c:v>0.67662934826069576</c:v>
                </c:pt>
                <c:pt idx="8">
                  <c:v>0.68590442941304819</c:v>
                </c:pt>
                <c:pt idx="9">
                  <c:v>0.69252873563218387</c:v>
                </c:pt>
                <c:pt idx="10">
                  <c:v>0.69745011754777264</c:v>
                </c:pt>
                <c:pt idx="11">
                  <c:v>0.4216775538309791</c:v>
                </c:pt>
                <c:pt idx="12">
                  <c:v>0.52634008844826752</c:v>
                </c:pt>
                <c:pt idx="13">
                  <c:v>0.58550839482937944</c:v>
                </c:pt>
                <c:pt idx="14">
                  <c:v>0.64244039835026656</c:v>
                </c:pt>
                <c:pt idx="15">
                  <c:v>0.69435668108686144</c:v>
                </c:pt>
                <c:pt idx="16">
                  <c:v>0.73552036199095028</c:v>
                </c:pt>
                <c:pt idx="17">
                  <c:v>0.76287174852430306</c:v>
                </c:pt>
                <c:pt idx="18">
                  <c:v>0.77669567619836999</c:v>
                </c:pt>
                <c:pt idx="19">
                  <c:v>0.7870013724708903</c:v>
                </c:pt>
                <c:pt idx="20">
                  <c:v>0.79553404850746268</c:v>
                </c:pt>
                <c:pt idx="21">
                  <c:v>0.79783582089552241</c:v>
                </c:pt>
              </c:numCache>
            </c:numRef>
          </c:val>
          <c:extLst>
            <c:ext xmlns:c16="http://schemas.microsoft.com/office/drawing/2014/chart" uri="{C3380CC4-5D6E-409C-BE32-E72D297353CC}">
              <c16:uniqueId val="{00000000-010D-48D7-A22C-5897B69CC5FD}"/>
            </c:ext>
          </c:extLst>
        </c:ser>
        <c:ser>
          <c:idx val="1"/>
          <c:order val="1"/>
          <c:tx>
            <c:strRef>
              <c:f>Sheet1!$AF$62:$AF$63</c:f>
              <c:strCache>
                <c:ptCount val="1"/>
                <c:pt idx="0">
                  <c:v>Two doses</c:v>
                </c:pt>
              </c:strCache>
            </c:strRef>
          </c:tx>
          <c:spPr>
            <a:solidFill>
              <a:srgbClr val="26567F"/>
            </a:solidFill>
            <a:ln>
              <a:noFill/>
            </a:ln>
            <a:effectLst/>
          </c:spPr>
          <c:invertIfNegative val="0"/>
          <c:cat>
            <c:multiLvlStrRef>
              <c:f>Sheet1!$AD$64:$AD$88</c:f>
              <c:multiLvlStrCache>
                <c:ptCount val="22"/>
                <c:lvl>
                  <c:pt idx="0">
                    <c:v>0</c:v>
                  </c:pt>
                  <c:pt idx="1">
                    <c:v>1</c:v>
                  </c:pt>
                  <c:pt idx="2">
                    <c:v>2</c:v>
                  </c:pt>
                  <c:pt idx="3">
                    <c:v>3</c:v>
                  </c:pt>
                  <c:pt idx="4">
                    <c:v>4</c:v>
                  </c:pt>
                  <c:pt idx="5">
                    <c:v>5</c:v>
                  </c:pt>
                  <c:pt idx="6">
                    <c:v>6</c:v>
                  </c:pt>
                  <c:pt idx="7">
                    <c:v>7</c:v>
                  </c:pt>
                  <c:pt idx="8">
                    <c:v>8</c:v>
                  </c:pt>
                  <c:pt idx="9">
                    <c:v>9</c:v>
                  </c:pt>
                  <c:pt idx="10">
                    <c:v>10+</c:v>
                  </c:pt>
                  <c:pt idx="11">
                    <c:v>0</c:v>
                  </c:pt>
                  <c:pt idx="12">
                    <c:v>1</c:v>
                  </c:pt>
                  <c:pt idx="13">
                    <c:v>2</c:v>
                  </c:pt>
                  <c:pt idx="14">
                    <c:v>3</c:v>
                  </c:pt>
                  <c:pt idx="15">
                    <c:v>4</c:v>
                  </c:pt>
                  <c:pt idx="16">
                    <c:v>5</c:v>
                  </c:pt>
                  <c:pt idx="17">
                    <c:v>6</c:v>
                  </c:pt>
                  <c:pt idx="18">
                    <c:v>7</c:v>
                  </c:pt>
                  <c:pt idx="19">
                    <c:v>8</c:v>
                  </c:pt>
                  <c:pt idx="20">
                    <c:v>9</c:v>
                  </c:pt>
                  <c:pt idx="21">
                    <c:v>10+</c:v>
                  </c:pt>
                </c:lvl>
                <c:lvl>
                  <c:pt idx="0">
                    <c:v>Non-disabled</c:v>
                  </c:pt>
                  <c:pt idx="11">
                    <c:v>Disabled</c:v>
                  </c:pt>
                </c:lvl>
              </c:multiLvlStrCache>
            </c:multiLvlStrRef>
          </c:cat>
          <c:val>
            <c:numRef>
              <c:f>Sheet1!$AF$64:$AF$88</c:f>
              <c:numCache>
                <c:formatCode>0%</c:formatCode>
                <c:ptCount val="22"/>
                <c:pt idx="0">
                  <c:v>0.41516139317898282</c:v>
                </c:pt>
                <c:pt idx="1">
                  <c:v>0.44265531163711613</c:v>
                </c:pt>
                <c:pt idx="2">
                  <c:v>0.41500379251998365</c:v>
                </c:pt>
                <c:pt idx="3">
                  <c:v>0.37863603473227209</c:v>
                </c:pt>
                <c:pt idx="4">
                  <c:v>0.33810391093963854</c:v>
                </c:pt>
                <c:pt idx="5">
                  <c:v>0.30223629260406842</c:v>
                </c:pt>
                <c:pt idx="6">
                  <c:v>0.27814403887727573</c:v>
                </c:pt>
                <c:pt idx="7">
                  <c:v>0.26199520191923231</c:v>
                </c:pt>
                <c:pt idx="8">
                  <c:v>0.2524547239799258</c:v>
                </c:pt>
                <c:pt idx="9">
                  <c:v>0.2471264367816092</c:v>
                </c:pt>
                <c:pt idx="10">
                  <c:v>0.2366929893302791</c:v>
                </c:pt>
                <c:pt idx="11">
                  <c:v>0.37900359183369625</c:v>
                </c:pt>
                <c:pt idx="12">
                  <c:v>0.36018370024784951</c:v>
                </c:pt>
                <c:pt idx="13">
                  <c:v>0.32450101530384823</c:v>
                </c:pt>
                <c:pt idx="14">
                  <c:v>0.28075646313248165</c:v>
                </c:pt>
                <c:pt idx="15">
                  <c:v>0.24041219073542994</c:v>
                </c:pt>
                <c:pt idx="16">
                  <c:v>0.2072398190045249</c:v>
                </c:pt>
                <c:pt idx="17">
                  <c:v>0.18609314542322139</c:v>
                </c:pt>
                <c:pt idx="18">
                  <c:v>0.174644287885067</c:v>
                </c:pt>
                <c:pt idx="19">
                  <c:v>0.16527205914906803</c:v>
                </c:pt>
                <c:pt idx="20">
                  <c:v>0.15910680970149255</c:v>
                </c:pt>
                <c:pt idx="21">
                  <c:v>0.15659203980099504</c:v>
                </c:pt>
              </c:numCache>
            </c:numRef>
          </c:val>
          <c:extLst>
            <c:ext xmlns:c16="http://schemas.microsoft.com/office/drawing/2014/chart" uri="{C3380CC4-5D6E-409C-BE32-E72D297353CC}">
              <c16:uniqueId val="{00000001-010D-48D7-A22C-5897B69CC5FD}"/>
            </c:ext>
          </c:extLst>
        </c:ser>
        <c:ser>
          <c:idx val="2"/>
          <c:order val="2"/>
          <c:tx>
            <c:strRef>
              <c:f>Sheet1!$AG$62:$AG$63</c:f>
              <c:strCache>
                <c:ptCount val="1"/>
                <c:pt idx="0">
                  <c:v>One dose</c:v>
                </c:pt>
              </c:strCache>
            </c:strRef>
          </c:tx>
          <c:spPr>
            <a:solidFill>
              <a:srgbClr val="E8731B"/>
            </a:solidFill>
            <a:ln>
              <a:noFill/>
            </a:ln>
            <a:effectLst/>
          </c:spPr>
          <c:invertIfNegative val="0"/>
          <c:cat>
            <c:multiLvlStrRef>
              <c:f>Sheet1!$AD$64:$AD$88</c:f>
              <c:multiLvlStrCache>
                <c:ptCount val="22"/>
                <c:lvl>
                  <c:pt idx="0">
                    <c:v>0</c:v>
                  </c:pt>
                  <c:pt idx="1">
                    <c:v>1</c:v>
                  </c:pt>
                  <c:pt idx="2">
                    <c:v>2</c:v>
                  </c:pt>
                  <c:pt idx="3">
                    <c:v>3</c:v>
                  </c:pt>
                  <c:pt idx="4">
                    <c:v>4</c:v>
                  </c:pt>
                  <c:pt idx="5">
                    <c:v>5</c:v>
                  </c:pt>
                  <c:pt idx="6">
                    <c:v>6</c:v>
                  </c:pt>
                  <c:pt idx="7">
                    <c:v>7</c:v>
                  </c:pt>
                  <c:pt idx="8">
                    <c:v>8</c:v>
                  </c:pt>
                  <c:pt idx="9">
                    <c:v>9</c:v>
                  </c:pt>
                  <c:pt idx="10">
                    <c:v>10+</c:v>
                  </c:pt>
                  <c:pt idx="11">
                    <c:v>0</c:v>
                  </c:pt>
                  <c:pt idx="12">
                    <c:v>1</c:v>
                  </c:pt>
                  <c:pt idx="13">
                    <c:v>2</c:v>
                  </c:pt>
                  <c:pt idx="14">
                    <c:v>3</c:v>
                  </c:pt>
                  <c:pt idx="15">
                    <c:v>4</c:v>
                  </c:pt>
                  <c:pt idx="16">
                    <c:v>5</c:v>
                  </c:pt>
                  <c:pt idx="17">
                    <c:v>6</c:v>
                  </c:pt>
                  <c:pt idx="18">
                    <c:v>7</c:v>
                  </c:pt>
                  <c:pt idx="19">
                    <c:v>8</c:v>
                  </c:pt>
                  <c:pt idx="20">
                    <c:v>9</c:v>
                  </c:pt>
                  <c:pt idx="21">
                    <c:v>10+</c:v>
                  </c:pt>
                </c:lvl>
                <c:lvl>
                  <c:pt idx="0">
                    <c:v>Non-disabled</c:v>
                  </c:pt>
                  <c:pt idx="11">
                    <c:v>Disabled</c:v>
                  </c:pt>
                </c:lvl>
              </c:multiLvlStrCache>
            </c:multiLvlStrRef>
          </c:cat>
          <c:val>
            <c:numRef>
              <c:f>Sheet1!$AG$64:$AG$88</c:f>
              <c:numCache>
                <c:formatCode>0%</c:formatCode>
                <c:ptCount val="22"/>
                <c:pt idx="0">
                  <c:v>3.3074225074373666E-2</c:v>
                </c:pt>
                <c:pt idx="1">
                  <c:v>2.2364160091603601E-2</c:v>
                </c:pt>
                <c:pt idx="2">
                  <c:v>1.8320788844156603E-2</c:v>
                </c:pt>
                <c:pt idx="3">
                  <c:v>1.5873733719247468E-2</c:v>
                </c:pt>
                <c:pt idx="4">
                  <c:v>1.3460357146706039E-2</c:v>
                </c:pt>
                <c:pt idx="5">
                  <c:v>1.2191836184830931E-2</c:v>
                </c:pt>
                <c:pt idx="6">
                  <c:v>1.1220096121205624E-2</c:v>
                </c:pt>
                <c:pt idx="7">
                  <c:v>1.0620751699320271E-2</c:v>
                </c:pt>
                <c:pt idx="8">
                  <c:v>1.0473488981016802E-2</c:v>
                </c:pt>
                <c:pt idx="9">
                  <c:v>1.0355671220993276E-2</c:v>
                </c:pt>
                <c:pt idx="10">
                  <c:v>1.1182108626198083E-2</c:v>
                </c:pt>
                <c:pt idx="11">
                  <c:v>2.3747045577205812E-2</c:v>
                </c:pt>
                <c:pt idx="12">
                  <c:v>1.7786849394955534E-2</c:v>
                </c:pt>
                <c:pt idx="13">
                  <c:v>1.4164726858501312E-2</c:v>
                </c:pt>
                <c:pt idx="14">
                  <c:v>1.1618549441706066E-2</c:v>
                </c:pt>
                <c:pt idx="15">
                  <c:v>9.9888202984494238E-3</c:v>
                </c:pt>
                <c:pt idx="16">
                  <c:v>8.4967320261437902E-3</c:v>
                </c:pt>
                <c:pt idx="17">
                  <c:v>7.7668257689157512E-3</c:v>
                </c:pt>
                <c:pt idx="18">
                  <c:v>7.5631993369249893E-3</c:v>
                </c:pt>
                <c:pt idx="19">
                  <c:v>7.747819542214548E-3</c:v>
                </c:pt>
                <c:pt idx="20">
                  <c:v>7.2294776119402986E-3</c:v>
                </c:pt>
                <c:pt idx="21">
                  <c:v>7.3134328358208959E-3</c:v>
                </c:pt>
              </c:numCache>
            </c:numRef>
          </c:val>
          <c:extLst>
            <c:ext xmlns:c16="http://schemas.microsoft.com/office/drawing/2014/chart" uri="{C3380CC4-5D6E-409C-BE32-E72D297353CC}">
              <c16:uniqueId val="{00000002-010D-48D7-A22C-5897B69CC5FD}"/>
            </c:ext>
          </c:extLst>
        </c:ser>
        <c:ser>
          <c:idx val="3"/>
          <c:order val="3"/>
          <c:tx>
            <c:strRef>
              <c:f>Sheet1!$AH$62:$AH$63</c:f>
              <c:strCache>
                <c:ptCount val="1"/>
                <c:pt idx="0">
                  <c:v>No doses</c:v>
                </c:pt>
              </c:strCache>
            </c:strRef>
          </c:tx>
          <c:spPr>
            <a:solidFill>
              <a:srgbClr val="3A9CAE"/>
            </a:solidFill>
            <a:ln>
              <a:noFill/>
            </a:ln>
            <a:effectLst/>
          </c:spPr>
          <c:invertIfNegative val="0"/>
          <c:cat>
            <c:multiLvlStrRef>
              <c:f>Sheet1!$AD$64:$AD$88</c:f>
              <c:multiLvlStrCache>
                <c:ptCount val="22"/>
                <c:lvl>
                  <c:pt idx="0">
                    <c:v>0</c:v>
                  </c:pt>
                  <c:pt idx="1">
                    <c:v>1</c:v>
                  </c:pt>
                  <c:pt idx="2">
                    <c:v>2</c:v>
                  </c:pt>
                  <c:pt idx="3">
                    <c:v>3</c:v>
                  </c:pt>
                  <c:pt idx="4">
                    <c:v>4</c:v>
                  </c:pt>
                  <c:pt idx="5">
                    <c:v>5</c:v>
                  </c:pt>
                  <c:pt idx="6">
                    <c:v>6</c:v>
                  </c:pt>
                  <c:pt idx="7">
                    <c:v>7</c:v>
                  </c:pt>
                  <c:pt idx="8">
                    <c:v>8</c:v>
                  </c:pt>
                  <c:pt idx="9">
                    <c:v>9</c:v>
                  </c:pt>
                  <c:pt idx="10">
                    <c:v>10+</c:v>
                  </c:pt>
                  <c:pt idx="11">
                    <c:v>0</c:v>
                  </c:pt>
                  <c:pt idx="12">
                    <c:v>1</c:v>
                  </c:pt>
                  <c:pt idx="13">
                    <c:v>2</c:v>
                  </c:pt>
                  <c:pt idx="14">
                    <c:v>3</c:v>
                  </c:pt>
                  <c:pt idx="15">
                    <c:v>4</c:v>
                  </c:pt>
                  <c:pt idx="16">
                    <c:v>5</c:v>
                  </c:pt>
                  <c:pt idx="17">
                    <c:v>6</c:v>
                  </c:pt>
                  <c:pt idx="18">
                    <c:v>7</c:v>
                  </c:pt>
                  <c:pt idx="19">
                    <c:v>8</c:v>
                  </c:pt>
                  <c:pt idx="20">
                    <c:v>9</c:v>
                  </c:pt>
                  <c:pt idx="21">
                    <c:v>10+</c:v>
                  </c:pt>
                </c:lvl>
                <c:lvl>
                  <c:pt idx="0">
                    <c:v>Non-disabled</c:v>
                  </c:pt>
                  <c:pt idx="11">
                    <c:v>Disabled</c:v>
                  </c:pt>
                </c:lvl>
              </c:multiLvlStrCache>
            </c:multiLvlStrRef>
          </c:cat>
          <c:val>
            <c:numRef>
              <c:f>Sheet1!$AH$64:$AH$88</c:f>
              <c:numCache>
                <c:formatCode>0%</c:formatCode>
                <c:ptCount val="22"/>
                <c:pt idx="0">
                  <c:v>0.2274673328565989</c:v>
                </c:pt>
                <c:pt idx="1">
                  <c:v>0.10045384335545894</c:v>
                </c:pt>
                <c:pt idx="2">
                  <c:v>8.1014061497170192E-2</c:v>
                </c:pt>
                <c:pt idx="3">
                  <c:v>7.0387120115774235E-2</c:v>
                </c:pt>
                <c:pt idx="4">
                  <c:v>6.1687017059844168E-2</c:v>
                </c:pt>
                <c:pt idx="5">
                  <c:v>5.6271049440926847E-2</c:v>
                </c:pt>
                <c:pt idx="6">
                  <c:v>5.12765539297136E-2</c:v>
                </c:pt>
                <c:pt idx="7">
                  <c:v>5.0754698120751701E-2</c:v>
                </c:pt>
                <c:pt idx="8">
                  <c:v>5.1167357626009165E-2</c:v>
                </c:pt>
                <c:pt idx="9">
                  <c:v>4.9989156365213616E-2</c:v>
                </c:pt>
                <c:pt idx="10">
                  <c:v>5.4674784495750195E-2</c:v>
                </c:pt>
                <c:pt idx="11">
                  <c:v>0.17557180875811884</c:v>
                </c:pt>
                <c:pt idx="12">
                  <c:v>9.5689361908927448E-2</c:v>
                </c:pt>
                <c:pt idx="13">
                  <c:v>7.5825863008271016E-2</c:v>
                </c:pt>
                <c:pt idx="14">
                  <c:v>6.5184589075545724E-2</c:v>
                </c:pt>
                <c:pt idx="15">
                  <c:v>5.5242307879259225E-2</c:v>
                </c:pt>
                <c:pt idx="16">
                  <c:v>4.8743086978381096E-2</c:v>
                </c:pt>
                <c:pt idx="17">
                  <c:v>4.3268280283559751E-2</c:v>
                </c:pt>
                <c:pt idx="18">
                  <c:v>4.1096836579638071E-2</c:v>
                </c:pt>
                <c:pt idx="19">
                  <c:v>3.9978748837827066E-2</c:v>
                </c:pt>
                <c:pt idx="20">
                  <c:v>3.8129664179104475E-2</c:v>
                </c:pt>
                <c:pt idx="21">
                  <c:v>3.8258706467661691E-2</c:v>
                </c:pt>
              </c:numCache>
            </c:numRef>
          </c:val>
          <c:extLst>
            <c:ext xmlns:c16="http://schemas.microsoft.com/office/drawing/2014/chart" uri="{C3380CC4-5D6E-409C-BE32-E72D297353CC}">
              <c16:uniqueId val="{00000003-010D-48D7-A22C-5897B69CC5FD}"/>
            </c:ext>
          </c:extLst>
        </c:ser>
        <c:dLbls>
          <c:showLegendKey val="0"/>
          <c:showVal val="0"/>
          <c:showCatName val="0"/>
          <c:showSerName val="0"/>
          <c:showPercent val="0"/>
          <c:showBubbleSize val="0"/>
        </c:dLbls>
        <c:gapWidth val="150"/>
        <c:overlap val="100"/>
        <c:axId val="562680648"/>
        <c:axId val="562683392"/>
      </c:barChart>
      <c:catAx>
        <c:axId val="5626806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a:t>Number of GP contacts between Feb 2020 and Feb 2021</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62683392"/>
        <c:crosses val="autoZero"/>
        <c:auto val="1"/>
        <c:lblAlgn val="ctr"/>
        <c:lblOffset val="100"/>
        <c:noMultiLvlLbl val="0"/>
      </c:catAx>
      <c:valAx>
        <c:axId val="56268339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a:t>Percentage of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62680648"/>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[Disability_analysis_21March2022_clean_pivots_v2_SB.xlsx]Sheet1!PivotTable19</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NZ"/>
              <a:t>Vaccination status by disability status and PHO enrolment - 25 years and older</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2"/>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4"/>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5"/>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6"/>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7"/>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8"/>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9"/>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1"/>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Sheet1!$K$146:$K$147</c:f>
              <c:strCache>
                <c:ptCount val="1"/>
                <c:pt idx="0">
                  <c:v>Three or more doses</c:v>
                </c:pt>
              </c:strCache>
            </c:strRef>
          </c:tx>
          <c:spPr>
            <a:solidFill>
              <a:srgbClr val="F7B735"/>
            </a:solidFill>
            <a:ln>
              <a:noFill/>
            </a:ln>
            <a:effectLst/>
          </c:spPr>
          <c:invertIfNegative val="0"/>
          <c:cat>
            <c:multiLvlStrRef>
              <c:f>Sheet1!$J$148:$J$162</c:f>
              <c:multiLvlStrCache>
                <c:ptCount val="8"/>
                <c:lvl>
                  <c:pt idx="0">
                    <c:v>Non-disabled</c:v>
                  </c:pt>
                  <c:pt idx="1">
                    <c:v>Disabled</c:v>
                  </c:pt>
                  <c:pt idx="2">
                    <c:v>Non-disabled</c:v>
                  </c:pt>
                  <c:pt idx="3">
                    <c:v>Disabled</c:v>
                  </c:pt>
                  <c:pt idx="4">
                    <c:v>Non-disabled</c:v>
                  </c:pt>
                  <c:pt idx="5">
                    <c:v>Disabled</c:v>
                  </c:pt>
                  <c:pt idx="6">
                    <c:v>Non-disabled</c:v>
                  </c:pt>
                  <c:pt idx="7">
                    <c:v>Disabled</c:v>
                  </c:pt>
                </c:lvl>
                <c:lvl>
                  <c:pt idx="0">
                    <c:v>Not enrolled with PHO</c:v>
                  </c:pt>
                  <c:pt idx="2">
                    <c:v>PHO Enrolled</c:v>
                  </c:pt>
                  <c:pt idx="4">
                    <c:v>Not enrolled with PHO</c:v>
                  </c:pt>
                  <c:pt idx="6">
                    <c:v>PHO Enrolled</c:v>
                  </c:pt>
                </c:lvl>
                <c:lvl>
                  <c:pt idx="0">
                    <c:v>25 to 64</c:v>
                  </c:pt>
                  <c:pt idx="4">
                    <c:v>65+</c:v>
                  </c:pt>
                </c:lvl>
              </c:multiLvlStrCache>
            </c:multiLvlStrRef>
          </c:cat>
          <c:val>
            <c:numRef>
              <c:f>Sheet1!$K$148:$K$162</c:f>
              <c:numCache>
                <c:formatCode>0%</c:formatCode>
                <c:ptCount val="8"/>
                <c:pt idx="0">
                  <c:v>0.29409890554632268</c:v>
                </c:pt>
                <c:pt idx="1">
                  <c:v>0.35685632419156776</c:v>
                </c:pt>
                <c:pt idx="2">
                  <c:v>0.57415107179312697</c:v>
                </c:pt>
                <c:pt idx="3">
                  <c:v>0.63485916928219133</c:v>
                </c:pt>
                <c:pt idx="4">
                  <c:v>0.16770519982810486</c:v>
                </c:pt>
                <c:pt idx="5">
                  <c:v>0.4358574610244989</c:v>
                </c:pt>
                <c:pt idx="6">
                  <c:v>0.84259053999688005</c:v>
                </c:pt>
                <c:pt idx="7">
                  <c:v>0.85785293183182121</c:v>
                </c:pt>
              </c:numCache>
            </c:numRef>
          </c:val>
          <c:extLst>
            <c:ext xmlns:c16="http://schemas.microsoft.com/office/drawing/2014/chart" uri="{C3380CC4-5D6E-409C-BE32-E72D297353CC}">
              <c16:uniqueId val="{00000000-2D0F-4432-9348-5CB0CC302698}"/>
            </c:ext>
          </c:extLst>
        </c:ser>
        <c:ser>
          <c:idx val="1"/>
          <c:order val="1"/>
          <c:tx>
            <c:strRef>
              <c:f>Sheet1!$L$146:$L$147</c:f>
              <c:strCache>
                <c:ptCount val="1"/>
                <c:pt idx="0">
                  <c:v>Two doses</c:v>
                </c:pt>
              </c:strCache>
            </c:strRef>
          </c:tx>
          <c:spPr>
            <a:solidFill>
              <a:srgbClr val="26567F"/>
            </a:solidFill>
            <a:ln>
              <a:noFill/>
            </a:ln>
            <a:effectLst/>
          </c:spPr>
          <c:invertIfNegative val="0"/>
          <c:cat>
            <c:multiLvlStrRef>
              <c:f>Sheet1!$J$148:$J$162</c:f>
              <c:multiLvlStrCache>
                <c:ptCount val="8"/>
                <c:lvl>
                  <c:pt idx="0">
                    <c:v>Non-disabled</c:v>
                  </c:pt>
                  <c:pt idx="1">
                    <c:v>Disabled</c:v>
                  </c:pt>
                  <c:pt idx="2">
                    <c:v>Non-disabled</c:v>
                  </c:pt>
                  <c:pt idx="3">
                    <c:v>Disabled</c:v>
                  </c:pt>
                  <c:pt idx="4">
                    <c:v>Non-disabled</c:v>
                  </c:pt>
                  <c:pt idx="5">
                    <c:v>Disabled</c:v>
                  </c:pt>
                  <c:pt idx="6">
                    <c:v>Non-disabled</c:v>
                  </c:pt>
                  <c:pt idx="7">
                    <c:v>Disabled</c:v>
                  </c:pt>
                </c:lvl>
                <c:lvl>
                  <c:pt idx="0">
                    <c:v>Not enrolled with PHO</c:v>
                  </c:pt>
                  <c:pt idx="2">
                    <c:v>PHO Enrolled</c:v>
                  </c:pt>
                  <c:pt idx="4">
                    <c:v>Not enrolled with PHO</c:v>
                  </c:pt>
                  <c:pt idx="6">
                    <c:v>PHO Enrolled</c:v>
                  </c:pt>
                </c:lvl>
                <c:lvl>
                  <c:pt idx="0">
                    <c:v>25 to 64</c:v>
                  </c:pt>
                  <c:pt idx="4">
                    <c:v>65+</c:v>
                  </c:pt>
                </c:lvl>
              </c:multiLvlStrCache>
            </c:multiLvlStrRef>
          </c:cat>
          <c:val>
            <c:numRef>
              <c:f>Sheet1!$L$148:$L$162</c:f>
              <c:numCache>
                <c:formatCode>0%</c:formatCode>
                <c:ptCount val="8"/>
                <c:pt idx="0">
                  <c:v>0.33809232676890755</c:v>
                </c:pt>
                <c:pt idx="1">
                  <c:v>0.30814572247237004</c:v>
                </c:pt>
                <c:pt idx="2">
                  <c:v>0.33126403538618576</c:v>
                </c:pt>
                <c:pt idx="3">
                  <c:v>0.28143724778869278</c:v>
                </c:pt>
                <c:pt idx="4">
                  <c:v>6.2311989686291362E-2</c:v>
                </c:pt>
                <c:pt idx="5">
                  <c:v>9.5322939866369708E-2</c:v>
                </c:pt>
                <c:pt idx="6">
                  <c:v>0.10397628841432877</c:v>
                </c:pt>
                <c:pt idx="7">
                  <c:v>9.8577329050022949E-2</c:v>
                </c:pt>
              </c:numCache>
            </c:numRef>
          </c:val>
          <c:extLst>
            <c:ext xmlns:c16="http://schemas.microsoft.com/office/drawing/2014/chart" uri="{C3380CC4-5D6E-409C-BE32-E72D297353CC}">
              <c16:uniqueId val="{00000001-2D0F-4432-9348-5CB0CC302698}"/>
            </c:ext>
          </c:extLst>
        </c:ser>
        <c:ser>
          <c:idx val="2"/>
          <c:order val="2"/>
          <c:tx>
            <c:strRef>
              <c:f>Sheet1!$M$146:$M$147</c:f>
              <c:strCache>
                <c:ptCount val="1"/>
                <c:pt idx="0">
                  <c:v>One dose</c:v>
                </c:pt>
              </c:strCache>
            </c:strRef>
          </c:tx>
          <c:spPr>
            <a:solidFill>
              <a:srgbClr val="E8731B"/>
            </a:solidFill>
            <a:ln>
              <a:noFill/>
            </a:ln>
            <a:effectLst/>
          </c:spPr>
          <c:invertIfNegative val="0"/>
          <c:cat>
            <c:multiLvlStrRef>
              <c:f>Sheet1!$J$148:$J$162</c:f>
              <c:multiLvlStrCache>
                <c:ptCount val="8"/>
                <c:lvl>
                  <c:pt idx="0">
                    <c:v>Non-disabled</c:v>
                  </c:pt>
                  <c:pt idx="1">
                    <c:v>Disabled</c:v>
                  </c:pt>
                  <c:pt idx="2">
                    <c:v>Non-disabled</c:v>
                  </c:pt>
                  <c:pt idx="3">
                    <c:v>Disabled</c:v>
                  </c:pt>
                  <c:pt idx="4">
                    <c:v>Non-disabled</c:v>
                  </c:pt>
                  <c:pt idx="5">
                    <c:v>Disabled</c:v>
                  </c:pt>
                  <c:pt idx="6">
                    <c:v>Non-disabled</c:v>
                  </c:pt>
                  <c:pt idx="7">
                    <c:v>Disabled</c:v>
                  </c:pt>
                </c:lvl>
                <c:lvl>
                  <c:pt idx="0">
                    <c:v>Not enrolled with PHO</c:v>
                  </c:pt>
                  <c:pt idx="2">
                    <c:v>PHO Enrolled</c:v>
                  </c:pt>
                  <c:pt idx="4">
                    <c:v>Not enrolled with PHO</c:v>
                  </c:pt>
                  <c:pt idx="6">
                    <c:v>PHO Enrolled</c:v>
                  </c:pt>
                </c:lvl>
                <c:lvl>
                  <c:pt idx="0">
                    <c:v>25 to 64</c:v>
                  </c:pt>
                  <c:pt idx="4">
                    <c:v>65+</c:v>
                  </c:pt>
                </c:lvl>
              </c:multiLvlStrCache>
            </c:multiLvlStrRef>
          </c:cat>
          <c:val>
            <c:numRef>
              <c:f>Sheet1!$M$148:$M$162</c:f>
              <c:numCache>
                <c:formatCode>0%</c:formatCode>
                <c:ptCount val="8"/>
                <c:pt idx="0">
                  <c:v>4.4992293186143235E-2</c:v>
                </c:pt>
                <c:pt idx="1">
                  <c:v>3.8722881702824397E-2</c:v>
                </c:pt>
                <c:pt idx="2">
                  <c:v>1.5302824089826472E-2</c:v>
                </c:pt>
                <c:pt idx="3">
                  <c:v>1.2233522194595035E-2</c:v>
                </c:pt>
                <c:pt idx="4">
                  <c:v>1.8639879673399227E-2</c:v>
                </c:pt>
                <c:pt idx="5">
                  <c:v>8.0178173719376387E-3</c:v>
                </c:pt>
                <c:pt idx="6">
                  <c:v>6.4123090059689481E-3</c:v>
                </c:pt>
                <c:pt idx="7">
                  <c:v>5.1964556783280968E-3</c:v>
                </c:pt>
              </c:numCache>
            </c:numRef>
          </c:val>
          <c:extLst>
            <c:ext xmlns:c16="http://schemas.microsoft.com/office/drawing/2014/chart" uri="{C3380CC4-5D6E-409C-BE32-E72D297353CC}">
              <c16:uniqueId val="{00000002-2D0F-4432-9348-5CB0CC302698}"/>
            </c:ext>
          </c:extLst>
        </c:ser>
        <c:ser>
          <c:idx val="3"/>
          <c:order val="3"/>
          <c:tx>
            <c:strRef>
              <c:f>Sheet1!$N$146:$N$147</c:f>
              <c:strCache>
                <c:ptCount val="1"/>
                <c:pt idx="0">
                  <c:v>No doses</c:v>
                </c:pt>
              </c:strCache>
            </c:strRef>
          </c:tx>
          <c:spPr>
            <a:solidFill>
              <a:srgbClr val="3A9CAE"/>
            </a:solidFill>
            <a:ln>
              <a:noFill/>
            </a:ln>
            <a:effectLst/>
          </c:spPr>
          <c:invertIfNegative val="0"/>
          <c:cat>
            <c:multiLvlStrRef>
              <c:f>Sheet1!$J$148:$J$162</c:f>
              <c:multiLvlStrCache>
                <c:ptCount val="8"/>
                <c:lvl>
                  <c:pt idx="0">
                    <c:v>Non-disabled</c:v>
                  </c:pt>
                  <c:pt idx="1">
                    <c:v>Disabled</c:v>
                  </c:pt>
                  <c:pt idx="2">
                    <c:v>Non-disabled</c:v>
                  </c:pt>
                  <c:pt idx="3">
                    <c:v>Disabled</c:v>
                  </c:pt>
                  <c:pt idx="4">
                    <c:v>Non-disabled</c:v>
                  </c:pt>
                  <c:pt idx="5">
                    <c:v>Disabled</c:v>
                  </c:pt>
                  <c:pt idx="6">
                    <c:v>Non-disabled</c:v>
                  </c:pt>
                  <c:pt idx="7">
                    <c:v>Disabled</c:v>
                  </c:pt>
                </c:lvl>
                <c:lvl>
                  <c:pt idx="0">
                    <c:v>Not enrolled with PHO</c:v>
                  </c:pt>
                  <c:pt idx="2">
                    <c:v>PHO Enrolled</c:v>
                  </c:pt>
                  <c:pt idx="4">
                    <c:v>Not enrolled with PHO</c:v>
                  </c:pt>
                  <c:pt idx="6">
                    <c:v>PHO Enrolled</c:v>
                  </c:pt>
                </c:lvl>
                <c:lvl>
                  <c:pt idx="0">
                    <c:v>25 to 64</c:v>
                  </c:pt>
                  <c:pt idx="4">
                    <c:v>65+</c:v>
                  </c:pt>
                </c:lvl>
              </c:multiLvlStrCache>
            </c:multiLvlStrRef>
          </c:cat>
          <c:val>
            <c:numRef>
              <c:f>Sheet1!$N$148:$N$162</c:f>
              <c:numCache>
                <c:formatCode>0%</c:formatCode>
                <c:ptCount val="8"/>
                <c:pt idx="0">
                  <c:v>0.32281647449862655</c:v>
                </c:pt>
                <c:pt idx="1">
                  <c:v>0.2962750716332378</c:v>
                </c:pt>
                <c:pt idx="2">
                  <c:v>7.9282068730860841E-2</c:v>
                </c:pt>
                <c:pt idx="3">
                  <c:v>7.1470060734520849E-2</c:v>
                </c:pt>
                <c:pt idx="4">
                  <c:v>0.7513429308122046</c:v>
                </c:pt>
                <c:pt idx="5">
                  <c:v>0.46080178173719377</c:v>
                </c:pt>
                <c:pt idx="6">
                  <c:v>4.7020862582822238E-2</c:v>
                </c:pt>
                <c:pt idx="7">
                  <c:v>3.8373283439827724E-2</c:v>
                </c:pt>
              </c:numCache>
            </c:numRef>
          </c:val>
          <c:extLst>
            <c:ext xmlns:c16="http://schemas.microsoft.com/office/drawing/2014/chart" uri="{C3380CC4-5D6E-409C-BE32-E72D297353CC}">
              <c16:uniqueId val="{00000003-2D0F-4432-9348-5CB0CC302698}"/>
            </c:ext>
          </c:extLst>
        </c:ser>
        <c:dLbls>
          <c:showLegendKey val="0"/>
          <c:showVal val="0"/>
          <c:showCatName val="0"/>
          <c:showSerName val="0"/>
          <c:showPercent val="0"/>
          <c:showBubbleSize val="0"/>
        </c:dLbls>
        <c:gapWidth val="150"/>
        <c:overlap val="100"/>
        <c:axId val="562682216"/>
        <c:axId val="562684960"/>
      </c:barChart>
      <c:catAx>
        <c:axId val="562682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62684960"/>
        <c:crosses val="autoZero"/>
        <c:auto val="1"/>
        <c:lblAlgn val="ctr"/>
        <c:lblOffset val="100"/>
        <c:noMultiLvlLbl val="0"/>
      </c:catAx>
      <c:valAx>
        <c:axId val="5626849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62682216"/>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[Disability_analysis_21March2022_clean_pivots_v2_SB.xlsx]Sheet1!PivotTable14</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NZ"/>
              <a:t>Vaccination status by disability status and diagnosed intellectual impairment - 12 years and older</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Sheet1!$T$75:$T$76</c:f>
              <c:strCache>
                <c:ptCount val="1"/>
                <c:pt idx="0">
                  <c:v>Three or more doses</c:v>
                </c:pt>
              </c:strCache>
            </c:strRef>
          </c:tx>
          <c:spPr>
            <a:solidFill>
              <a:srgbClr val="F7B735"/>
            </a:solidFill>
            <a:ln>
              <a:noFill/>
            </a:ln>
            <a:effectLst/>
          </c:spPr>
          <c:invertIfNegative val="0"/>
          <c:cat>
            <c:multiLvlStrRef>
              <c:f>Sheet1!$S$77:$S$83</c:f>
              <c:multiLvlStrCache>
                <c:ptCount val="4"/>
                <c:lvl>
                  <c:pt idx="0">
                    <c:v>Non-disabled</c:v>
                  </c:pt>
                  <c:pt idx="1">
                    <c:v>Disabled</c:v>
                  </c:pt>
                  <c:pt idx="2">
                    <c:v>Non-disabled</c:v>
                  </c:pt>
                  <c:pt idx="3">
                    <c:v>Disabled</c:v>
                  </c:pt>
                </c:lvl>
                <c:lvl>
                  <c:pt idx="0">
                    <c:v>No identified intellectual impairment</c:v>
                  </c:pt>
                  <c:pt idx="2">
                    <c:v>Intellectual impairment identified</c:v>
                  </c:pt>
                </c:lvl>
              </c:multiLvlStrCache>
            </c:multiLvlStrRef>
          </c:cat>
          <c:val>
            <c:numRef>
              <c:f>Sheet1!$T$77:$T$83</c:f>
              <c:numCache>
                <c:formatCode>0%</c:formatCode>
                <c:ptCount val="4"/>
                <c:pt idx="0">
                  <c:v>0.48440943918118839</c:v>
                </c:pt>
                <c:pt idx="1">
                  <c:v>0.66183437994588246</c:v>
                </c:pt>
                <c:pt idx="2">
                  <c:v>0.42318840579710143</c:v>
                </c:pt>
                <c:pt idx="3">
                  <c:v>0.594648515432461</c:v>
                </c:pt>
              </c:numCache>
            </c:numRef>
          </c:val>
          <c:extLst>
            <c:ext xmlns:c16="http://schemas.microsoft.com/office/drawing/2014/chart" uri="{C3380CC4-5D6E-409C-BE32-E72D297353CC}">
              <c16:uniqueId val="{00000000-152B-4F20-BBFA-419CF8E425BD}"/>
            </c:ext>
          </c:extLst>
        </c:ser>
        <c:ser>
          <c:idx val="1"/>
          <c:order val="1"/>
          <c:tx>
            <c:strRef>
              <c:f>Sheet1!$U$75:$U$76</c:f>
              <c:strCache>
                <c:ptCount val="1"/>
                <c:pt idx="0">
                  <c:v>Two doses</c:v>
                </c:pt>
              </c:strCache>
            </c:strRef>
          </c:tx>
          <c:spPr>
            <a:solidFill>
              <a:srgbClr val="26567F"/>
            </a:solidFill>
            <a:ln>
              <a:noFill/>
            </a:ln>
            <a:effectLst/>
          </c:spPr>
          <c:invertIfNegative val="0"/>
          <c:cat>
            <c:multiLvlStrRef>
              <c:f>Sheet1!$S$77:$S$83</c:f>
              <c:multiLvlStrCache>
                <c:ptCount val="4"/>
                <c:lvl>
                  <c:pt idx="0">
                    <c:v>Non-disabled</c:v>
                  </c:pt>
                  <c:pt idx="1">
                    <c:v>Disabled</c:v>
                  </c:pt>
                  <c:pt idx="2">
                    <c:v>Non-disabled</c:v>
                  </c:pt>
                  <c:pt idx="3">
                    <c:v>Disabled</c:v>
                  </c:pt>
                </c:lvl>
                <c:lvl>
                  <c:pt idx="0">
                    <c:v>No identified intellectual impairment</c:v>
                  </c:pt>
                  <c:pt idx="2">
                    <c:v>Intellectual impairment identified</c:v>
                  </c:pt>
                </c:lvl>
              </c:multiLvlStrCache>
            </c:multiLvlStrRef>
          </c:cat>
          <c:val>
            <c:numRef>
              <c:f>Sheet1!$U$77:$U$83</c:f>
              <c:numCache>
                <c:formatCode>0%</c:formatCode>
                <c:ptCount val="4"/>
                <c:pt idx="0">
                  <c:v>0.3761058787638823</c:v>
                </c:pt>
                <c:pt idx="1">
                  <c:v>0.25358656251595446</c:v>
                </c:pt>
                <c:pt idx="2">
                  <c:v>0.33961352657004829</c:v>
                </c:pt>
                <c:pt idx="3">
                  <c:v>0.3111137190470602</c:v>
                </c:pt>
              </c:numCache>
            </c:numRef>
          </c:val>
          <c:extLst>
            <c:ext xmlns:c16="http://schemas.microsoft.com/office/drawing/2014/chart" uri="{C3380CC4-5D6E-409C-BE32-E72D297353CC}">
              <c16:uniqueId val="{00000001-152B-4F20-BBFA-419CF8E425BD}"/>
            </c:ext>
          </c:extLst>
        </c:ser>
        <c:ser>
          <c:idx val="2"/>
          <c:order val="2"/>
          <c:tx>
            <c:strRef>
              <c:f>Sheet1!$V$75:$V$76</c:f>
              <c:strCache>
                <c:ptCount val="1"/>
                <c:pt idx="0">
                  <c:v>One dose</c:v>
                </c:pt>
              </c:strCache>
            </c:strRef>
          </c:tx>
          <c:spPr>
            <a:solidFill>
              <a:srgbClr val="E8731B"/>
            </a:solidFill>
            <a:ln>
              <a:noFill/>
            </a:ln>
            <a:effectLst/>
          </c:spPr>
          <c:invertIfNegative val="0"/>
          <c:cat>
            <c:multiLvlStrRef>
              <c:f>Sheet1!$S$77:$S$83</c:f>
              <c:multiLvlStrCache>
                <c:ptCount val="4"/>
                <c:lvl>
                  <c:pt idx="0">
                    <c:v>Non-disabled</c:v>
                  </c:pt>
                  <c:pt idx="1">
                    <c:v>Disabled</c:v>
                  </c:pt>
                  <c:pt idx="2">
                    <c:v>Non-disabled</c:v>
                  </c:pt>
                  <c:pt idx="3">
                    <c:v>Disabled</c:v>
                  </c:pt>
                </c:lvl>
                <c:lvl>
                  <c:pt idx="0">
                    <c:v>No identified intellectual impairment</c:v>
                  </c:pt>
                  <c:pt idx="2">
                    <c:v>Intellectual impairment identified</c:v>
                  </c:pt>
                </c:lvl>
              </c:multiLvlStrCache>
            </c:multiLvlStrRef>
          </c:cat>
          <c:val>
            <c:numRef>
              <c:f>Sheet1!$V$77:$V$83</c:f>
              <c:numCache>
                <c:formatCode>0%</c:formatCode>
                <c:ptCount val="4"/>
                <c:pt idx="0">
                  <c:v>2.1048902999793222E-2</c:v>
                </c:pt>
                <c:pt idx="1">
                  <c:v>1.2066676877520804E-2</c:v>
                </c:pt>
                <c:pt idx="2">
                  <c:v>2.6570048309178744E-2</c:v>
                </c:pt>
                <c:pt idx="3">
                  <c:v>1.8190353244924306E-2</c:v>
                </c:pt>
              </c:numCache>
            </c:numRef>
          </c:val>
          <c:extLst>
            <c:ext xmlns:c16="http://schemas.microsoft.com/office/drawing/2014/chart" uri="{C3380CC4-5D6E-409C-BE32-E72D297353CC}">
              <c16:uniqueId val="{00000002-152B-4F20-BBFA-419CF8E425BD}"/>
            </c:ext>
          </c:extLst>
        </c:ser>
        <c:ser>
          <c:idx val="3"/>
          <c:order val="3"/>
          <c:tx>
            <c:strRef>
              <c:f>Sheet1!$W$75:$W$76</c:f>
              <c:strCache>
                <c:ptCount val="1"/>
                <c:pt idx="0">
                  <c:v>No doses</c:v>
                </c:pt>
              </c:strCache>
            </c:strRef>
          </c:tx>
          <c:spPr>
            <a:solidFill>
              <a:srgbClr val="3A9CAE"/>
            </a:solidFill>
            <a:ln>
              <a:noFill/>
            </a:ln>
            <a:effectLst/>
          </c:spPr>
          <c:invertIfNegative val="0"/>
          <c:cat>
            <c:multiLvlStrRef>
              <c:f>Sheet1!$S$77:$S$83</c:f>
              <c:multiLvlStrCache>
                <c:ptCount val="4"/>
                <c:lvl>
                  <c:pt idx="0">
                    <c:v>Non-disabled</c:v>
                  </c:pt>
                  <c:pt idx="1">
                    <c:v>Disabled</c:v>
                  </c:pt>
                  <c:pt idx="2">
                    <c:v>Non-disabled</c:v>
                  </c:pt>
                  <c:pt idx="3">
                    <c:v>Disabled</c:v>
                  </c:pt>
                </c:lvl>
                <c:lvl>
                  <c:pt idx="0">
                    <c:v>No identified intellectual impairment</c:v>
                  </c:pt>
                  <c:pt idx="2">
                    <c:v>Intellectual impairment identified</c:v>
                  </c:pt>
                </c:lvl>
              </c:multiLvlStrCache>
            </c:multiLvlStrRef>
          </c:cat>
          <c:val>
            <c:numRef>
              <c:f>Sheet1!$W$77:$W$83</c:f>
              <c:numCache>
                <c:formatCode>0%</c:formatCode>
                <c:ptCount val="4"/>
                <c:pt idx="0">
                  <c:v>0.11843577905513607</c:v>
                </c:pt>
                <c:pt idx="1">
                  <c:v>7.2512380660642264E-2</c:v>
                </c:pt>
                <c:pt idx="2">
                  <c:v>0.21062801932367151</c:v>
                </c:pt>
                <c:pt idx="3">
                  <c:v>7.6047412275554518E-2</c:v>
                </c:pt>
              </c:numCache>
            </c:numRef>
          </c:val>
          <c:extLst>
            <c:ext xmlns:c16="http://schemas.microsoft.com/office/drawing/2014/chart" uri="{C3380CC4-5D6E-409C-BE32-E72D297353CC}">
              <c16:uniqueId val="{00000003-152B-4F20-BBFA-419CF8E425BD}"/>
            </c:ext>
          </c:extLst>
        </c:ser>
        <c:dLbls>
          <c:showLegendKey val="0"/>
          <c:showVal val="0"/>
          <c:showCatName val="0"/>
          <c:showSerName val="0"/>
          <c:showPercent val="0"/>
          <c:showBubbleSize val="0"/>
        </c:dLbls>
        <c:gapWidth val="150"/>
        <c:overlap val="100"/>
        <c:axId val="447801312"/>
        <c:axId val="447801704"/>
      </c:barChart>
      <c:catAx>
        <c:axId val="44780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47801704"/>
        <c:crosses val="autoZero"/>
        <c:auto val="1"/>
        <c:lblAlgn val="ctr"/>
        <c:lblOffset val="100"/>
        <c:noMultiLvlLbl val="0"/>
      </c:catAx>
      <c:valAx>
        <c:axId val="44780170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a:t>Percentage of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47801312"/>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[Disability_analysis_21March2022_clean_pivots_v2_SB.xlsx]Sheet1!PivotTable10</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NZ"/>
              <a:t>Vaccination status by disability status and identified Autism Spectrum Disorder - 12 years and older</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Sheet1!$B$5:$B$6</c:f>
              <c:strCache>
                <c:ptCount val="1"/>
                <c:pt idx="0">
                  <c:v>Three or more doses</c:v>
                </c:pt>
              </c:strCache>
            </c:strRef>
          </c:tx>
          <c:spPr>
            <a:solidFill>
              <a:srgbClr val="F7B735"/>
            </a:solidFill>
            <a:ln>
              <a:noFill/>
            </a:ln>
            <a:effectLst/>
          </c:spPr>
          <c:invertIfNegative val="0"/>
          <c:cat>
            <c:multiLvlStrRef>
              <c:f>Sheet1!$A$7:$A$13</c:f>
              <c:multiLvlStrCache>
                <c:ptCount val="4"/>
                <c:lvl>
                  <c:pt idx="0">
                    <c:v>Non-disabled</c:v>
                  </c:pt>
                  <c:pt idx="1">
                    <c:v>Disabled</c:v>
                  </c:pt>
                  <c:pt idx="2">
                    <c:v>Non-disabled</c:v>
                  </c:pt>
                  <c:pt idx="3">
                    <c:v>Disabled</c:v>
                  </c:pt>
                </c:lvl>
                <c:lvl>
                  <c:pt idx="0">
                    <c:v>No identified Autism Spectrum Disorder</c:v>
                  </c:pt>
                  <c:pt idx="2">
                    <c:v>Autism Spectrum Disorder</c:v>
                  </c:pt>
                </c:lvl>
              </c:multiLvlStrCache>
            </c:multiLvlStrRef>
          </c:cat>
          <c:val>
            <c:numRef>
              <c:f>Sheet1!$B$7:$B$13</c:f>
              <c:numCache>
                <c:formatCode>0%</c:formatCode>
                <c:ptCount val="4"/>
                <c:pt idx="0">
                  <c:v>0.48438718521056973</c:v>
                </c:pt>
                <c:pt idx="1">
                  <c:v>0.66365854583612527</c:v>
                </c:pt>
                <c:pt idx="2">
                  <c:v>0.36230110159118728</c:v>
                </c:pt>
                <c:pt idx="3">
                  <c:v>0.39099476439790576</c:v>
                </c:pt>
              </c:numCache>
            </c:numRef>
          </c:val>
          <c:extLst>
            <c:ext xmlns:c16="http://schemas.microsoft.com/office/drawing/2014/chart" uri="{C3380CC4-5D6E-409C-BE32-E72D297353CC}">
              <c16:uniqueId val="{00000000-43AC-4527-BD55-A495A53BB7A4}"/>
            </c:ext>
          </c:extLst>
        </c:ser>
        <c:ser>
          <c:idx val="1"/>
          <c:order val="1"/>
          <c:tx>
            <c:strRef>
              <c:f>Sheet1!$C$5:$C$6</c:f>
              <c:strCache>
                <c:ptCount val="1"/>
                <c:pt idx="0">
                  <c:v>Two doses</c:v>
                </c:pt>
              </c:strCache>
            </c:strRef>
          </c:tx>
          <c:spPr>
            <a:solidFill>
              <a:srgbClr val="26567F"/>
            </a:solidFill>
            <a:ln>
              <a:noFill/>
            </a:ln>
            <a:effectLst/>
          </c:spPr>
          <c:invertIfNegative val="0"/>
          <c:cat>
            <c:multiLvlStrRef>
              <c:f>Sheet1!$A$7:$A$13</c:f>
              <c:multiLvlStrCache>
                <c:ptCount val="4"/>
                <c:lvl>
                  <c:pt idx="0">
                    <c:v>Non-disabled</c:v>
                  </c:pt>
                  <c:pt idx="1">
                    <c:v>Disabled</c:v>
                  </c:pt>
                  <c:pt idx="2">
                    <c:v>Non-disabled</c:v>
                  </c:pt>
                  <c:pt idx="3">
                    <c:v>Disabled</c:v>
                  </c:pt>
                </c:lvl>
                <c:lvl>
                  <c:pt idx="0">
                    <c:v>No identified Autism Spectrum Disorder</c:v>
                  </c:pt>
                  <c:pt idx="2">
                    <c:v>Autism Spectrum Disorder</c:v>
                  </c:pt>
                </c:lvl>
              </c:multiLvlStrCache>
            </c:multiLvlStrRef>
          </c:cat>
          <c:val>
            <c:numRef>
              <c:f>Sheet1!$C$7:$C$13</c:f>
              <c:numCache>
                <c:formatCode>0%</c:formatCode>
                <c:ptCount val="4"/>
                <c:pt idx="0">
                  <c:v>0.37595235669497729</c:v>
                </c:pt>
                <c:pt idx="1">
                  <c:v>0.2520677143254485</c:v>
                </c:pt>
                <c:pt idx="2">
                  <c:v>0.48714810281517745</c:v>
                </c:pt>
                <c:pt idx="3">
                  <c:v>0.48209424083769631</c:v>
                </c:pt>
              </c:numCache>
            </c:numRef>
          </c:val>
          <c:extLst>
            <c:ext xmlns:c16="http://schemas.microsoft.com/office/drawing/2014/chart" uri="{C3380CC4-5D6E-409C-BE32-E72D297353CC}">
              <c16:uniqueId val="{00000001-43AC-4527-BD55-A495A53BB7A4}"/>
            </c:ext>
          </c:extLst>
        </c:ser>
        <c:ser>
          <c:idx val="2"/>
          <c:order val="2"/>
          <c:tx>
            <c:strRef>
              <c:f>Sheet1!$D$5:$D$6</c:f>
              <c:strCache>
                <c:ptCount val="1"/>
                <c:pt idx="0">
                  <c:v>One dose</c:v>
                </c:pt>
              </c:strCache>
            </c:strRef>
          </c:tx>
          <c:spPr>
            <a:solidFill>
              <a:srgbClr val="E8731B"/>
            </a:solidFill>
            <a:ln>
              <a:noFill/>
            </a:ln>
            <a:effectLst/>
          </c:spPr>
          <c:invertIfNegative val="0"/>
          <c:cat>
            <c:multiLvlStrRef>
              <c:f>Sheet1!$A$7:$A$13</c:f>
              <c:multiLvlStrCache>
                <c:ptCount val="4"/>
                <c:lvl>
                  <c:pt idx="0">
                    <c:v>Non-disabled</c:v>
                  </c:pt>
                  <c:pt idx="1">
                    <c:v>Disabled</c:v>
                  </c:pt>
                  <c:pt idx="2">
                    <c:v>Non-disabled</c:v>
                  </c:pt>
                  <c:pt idx="3">
                    <c:v>Disabled</c:v>
                  </c:pt>
                </c:lvl>
                <c:lvl>
                  <c:pt idx="0">
                    <c:v>No identified Autism Spectrum Disorder</c:v>
                  </c:pt>
                  <c:pt idx="2">
                    <c:v>Autism Spectrum Disorder</c:v>
                  </c:pt>
                </c:lvl>
              </c:multiLvlStrCache>
            </c:multiLvlStrRef>
          </c:cat>
          <c:val>
            <c:numRef>
              <c:f>Sheet1!$D$7:$D$13</c:f>
              <c:numCache>
                <c:formatCode>0%</c:formatCode>
                <c:ptCount val="4"/>
                <c:pt idx="0">
                  <c:v>2.1058822439774378E-2</c:v>
                </c:pt>
                <c:pt idx="1">
                  <c:v>1.2076311364527099E-2</c:v>
                </c:pt>
                <c:pt idx="2">
                  <c:v>2.2031823745410038E-2</c:v>
                </c:pt>
                <c:pt idx="3">
                  <c:v>2.1989528795811519E-2</c:v>
                </c:pt>
              </c:numCache>
            </c:numRef>
          </c:val>
          <c:extLst>
            <c:ext xmlns:c16="http://schemas.microsoft.com/office/drawing/2014/chart" uri="{C3380CC4-5D6E-409C-BE32-E72D297353CC}">
              <c16:uniqueId val="{00000002-43AC-4527-BD55-A495A53BB7A4}"/>
            </c:ext>
          </c:extLst>
        </c:ser>
        <c:ser>
          <c:idx val="3"/>
          <c:order val="3"/>
          <c:tx>
            <c:strRef>
              <c:f>Sheet1!$E$5:$E$6</c:f>
              <c:strCache>
                <c:ptCount val="1"/>
                <c:pt idx="0">
                  <c:v>No doses</c:v>
                </c:pt>
              </c:strCache>
            </c:strRef>
          </c:tx>
          <c:spPr>
            <a:solidFill>
              <a:srgbClr val="3A9CAE"/>
            </a:solidFill>
            <a:ln>
              <a:noFill/>
            </a:ln>
            <a:effectLst/>
          </c:spPr>
          <c:invertIfNegative val="0"/>
          <c:cat>
            <c:multiLvlStrRef>
              <c:f>Sheet1!$A$7:$A$13</c:f>
              <c:multiLvlStrCache>
                <c:ptCount val="4"/>
                <c:lvl>
                  <c:pt idx="0">
                    <c:v>Non-disabled</c:v>
                  </c:pt>
                  <c:pt idx="1">
                    <c:v>Disabled</c:v>
                  </c:pt>
                  <c:pt idx="2">
                    <c:v>Non-disabled</c:v>
                  </c:pt>
                  <c:pt idx="3">
                    <c:v>Disabled</c:v>
                  </c:pt>
                </c:lvl>
                <c:lvl>
                  <c:pt idx="0">
                    <c:v>No identified Autism Spectrum Disorder</c:v>
                  </c:pt>
                  <c:pt idx="2">
                    <c:v>Autism Spectrum Disorder</c:v>
                  </c:pt>
                </c:lvl>
              </c:multiLvlStrCache>
            </c:multiLvlStrRef>
          </c:cat>
          <c:val>
            <c:numRef>
              <c:f>Sheet1!$E$7:$E$13</c:f>
              <c:numCache>
                <c:formatCode>0%</c:formatCode>
                <c:ptCount val="4"/>
                <c:pt idx="0">
                  <c:v>0.11860163565467866</c:v>
                </c:pt>
                <c:pt idx="1">
                  <c:v>7.2197428473899136E-2</c:v>
                </c:pt>
                <c:pt idx="2">
                  <c:v>0.12851897184822522</c:v>
                </c:pt>
                <c:pt idx="3">
                  <c:v>0.10492146596858638</c:v>
                </c:pt>
              </c:numCache>
            </c:numRef>
          </c:val>
          <c:extLst>
            <c:ext xmlns:c16="http://schemas.microsoft.com/office/drawing/2014/chart" uri="{C3380CC4-5D6E-409C-BE32-E72D297353CC}">
              <c16:uniqueId val="{00000003-43AC-4527-BD55-A495A53BB7A4}"/>
            </c:ext>
          </c:extLst>
        </c:ser>
        <c:dLbls>
          <c:showLegendKey val="0"/>
          <c:showVal val="0"/>
          <c:showCatName val="0"/>
          <c:showSerName val="0"/>
          <c:showPercent val="0"/>
          <c:showBubbleSize val="0"/>
        </c:dLbls>
        <c:gapWidth val="150"/>
        <c:overlap val="100"/>
        <c:axId val="447802488"/>
        <c:axId val="447802880"/>
      </c:barChart>
      <c:catAx>
        <c:axId val="44780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47802880"/>
        <c:crosses val="autoZero"/>
        <c:auto val="1"/>
        <c:lblAlgn val="ctr"/>
        <c:lblOffset val="100"/>
        <c:noMultiLvlLbl val="0"/>
      </c:catAx>
      <c:valAx>
        <c:axId val="44780288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a:t>Percentage of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47802488"/>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[Disability_analysis_21March2022_clean_pivots_v2_SB.xlsx]Sheet1!PivotTable25</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NZ"/>
              <a:t>Vaccination status by disability status and residential care services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Sheet1!$B$124:$B$125</c:f>
              <c:strCache>
                <c:ptCount val="1"/>
                <c:pt idx="0">
                  <c:v>Three or more doses</c:v>
                </c:pt>
              </c:strCache>
            </c:strRef>
          </c:tx>
          <c:spPr>
            <a:solidFill>
              <a:srgbClr val="F7B735"/>
            </a:solidFill>
            <a:ln>
              <a:noFill/>
            </a:ln>
            <a:effectLst/>
          </c:spPr>
          <c:invertIfNegative val="0"/>
          <c:cat>
            <c:strRef>
              <c:f>Sheet1!$A$126:$A$128</c:f>
              <c:strCache>
                <c:ptCount val="2"/>
                <c:pt idx="0">
                  <c:v>Not in residential care</c:v>
                </c:pt>
                <c:pt idx="1">
                  <c:v>Residential care</c:v>
                </c:pt>
              </c:strCache>
            </c:strRef>
          </c:cat>
          <c:val>
            <c:numRef>
              <c:f>Sheet1!$B$126:$B$128</c:f>
              <c:numCache>
                <c:formatCode>0%</c:formatCode>
                <c:ptCount val="2"/>
                <c:pt idx="0">
                  <c:v>0.7077907727381112</c:v>
                </c:pt>
                <c:pt idx="1">
                  <c:v>0.8413928304705004</c:v>
                </c:pt>
              </c:numCache>
            </c:numRef>
          </c:val>
          <c:extLst>
            <c:ext xmlns:c16="http://schemas.microsoft.com/office/drawing/2014/chart" uri="{C3380CC4-5D6E-409C-BE32-E72D297353CC}">
              <c16:uniqueId val="{00000000-3BBC-41B4-BB4F-F29721304D86}"/>
            </c:ext>
          </c:extLst>
        </c:ser>
        <c:ser>
          <c:idx val="1"/>
          <c:order val="1"/>
          <c:tx>
            <c:strRef>
              <c:f>Sheet1!$C$124:$C$125</c:f>
              <c:strCache>
                <c:ptCount val="1"/>
                <c:pt idx="0">
                  <c:v>Two doses</c:v>
                </c:pt>
              </c:strCache>
            </c:strRef>
          </c:tx>
          <c:spPr>
            <a:solidFill>
              <a:srgbClr val="26567F"/>
            </a:solidFill>
            <a:ln>
              <a:noFill/>
            </a:ln>
            <a:effectLst/>
          </c:spPr>
          <c:invertIfNegative val="0"/>
          <c:cat>
            <c:strRef>
              <c:f>Sheet1!$A$126:$A$128</c:f>
              <c:strCache>
                <c:ptCount val="2"/>
                <c:pt idx="0">
                  <c:v>Not in residential care</c:v>
                </c:pt>
                <c:pt idx="1">
                  <c:v>Residential care</c:v>
                </c:pt>
              </c:strCache>
            </c:strRef>
          </c:cat>
          <c:val>
            <c:numRef>
              <c:f>Sheet1!$C$126:$C$128</c:f>
              <c:numCache>
                <c:formatCode>0%</c:formatCode>
                <c:ptCount val="2"/>
                <c:pt idx="0">
                  <c:v>0.20976231047939189</c:v>
                </c:pt>
                <c:pt idx="1">
                  <c:v>0.11715832710978343</c:v>
                </c:pt>
              </c:numCache>
            </c:numRef>
          </c:val>
          <c:extLst>
            <c:ext xmlns:c16="http://schemas.microsoft.com/office/drawing/2014/chart" uri="{C3380CC4-5D6E-409C-BE32-E72D297353CC}">
              <c16:uniqueId val="{00000001-3BBC-41B4-BB4F-F29721304D86}"/>
            </c:ext>
          </c:extLst>
        </c:ser>
        <c:ser>
          <c:idx val="2"/>
          <c:order val="2"/>
          <c:tx>
            <c:strRef>
              <c:f>Sheet1!$D$124:$D$125</c:f>
              <c:strCache>
                <c:ptCount val="1"/>
                <c:pt idx="0">
                  <c:v>One dose</c:v>
                </c:pt>
              </c:strCache>
            </c:strRef>
          </c:tx>
          <c:spPr>
            <a:solidFill>
              <a:srgbClr val="E8731B"/>
            </a:solidFill>
            <a:ln>
              <a:noFill/>
            </a:ln>
            <a:effectLst/>
          </c:spPr>
          <c:invertIfNegative val="0"/>
          <c:cat>
            <c:strRef>
              <c:f>Sheet1!$A$126:$A$128</c:f>
              <c:strCache>
                <c:ptCount val="2"/>
                <c:pt idx="0">
                  <c:v>Not in residential care</c:v>
                </c:pt>
                <c:pt idx="1">
                  <c:v>Residential care</c:v>
                </c:pt>
              </c:strCache>
            </c:strRef>
          </c:cat>
          <c:val>
            <c:numRef>
              <c:f>Sheet1!$D$126:$D$128</c:f>
              <c:numCache>
                <c:formatCode>0%</c:formatCode>
                <c:ptCount val="2"/>
                <c:pt idx="0">
                  <c:v>1.0384013678633532E-2</c:v>
                </c:pt>
                <c:pt idx="1">
                  <c:v>7.0948469006721438E-3</c:v>
                </c:pt>
              </c:numCache>
            </c:numRef>
          </c:val>
          <c:extLst>
            <c:ext xmlns:c16="http://schemas.microsoft.com/office/drawing/2014/chart" uri="{C3380CC4-5D6E-409C-BE32-E72D297353CC}">
              <c16:uniqueId val="{00000002-3BBC-41B4-BB4F-F29721304D86}"/>
            </c:ext>
          </c:extLst>
        </c:ser>
        <c:ser>
          <c:idx val="3"/>
          <c:order val="3"/>
          <c:tx>
            <c:strRef>
              <c:f>Sheet1!$E$124:$E$125</c:f>
              <c:strCache>
                <c:ptCount val="1"/>
                <c:pt idx="0">
                  <c:v>No doses</c:v>
                </c:pt>
              </c:strCache>
            </c:strRef>
          </c:tx>
          <c:spPr>
            <a:solidFill>
              <a:srgbClr val="3A9CAE"/>
            </a:solidFill>
            <a:ln>
              <a:noFill/>
            </a:ln>
            <a:effectLst/>
          </c:spPr>
          <c:invertIfNegative val="0"/>
          <c:cat>
            <c:strRef>
              <c:f>Sheet1!$A$126:$A$128</c:f>
              <c:strCache>
                <c:ptCount val="2"/>
                <c:pt idx="0">
                  <c:v>Not in residential care</c:v>
                </c:pt>
                <c:pt idx="1">
                  <c:v>Residential care</c:v>
                </c:pt>
              </c:strCache>
            </c:strRef>
          </c:cat>
          <c:val>
            <c:numRef>
              <c:f>Sheet1!$E$126:$E$128</c:f>
              <c:numCache>
                <c:formatCode>0%</c:formatCode>
                <c:ptCount val="2"/>
                <c:pt idx="0">
                  <c:v>7.2062903103863402E-2</c:v>
                </c:pt>
                <c:pt idx="1">
                  <c:v>3.4353995519044063E-2</c:v>
                </c:pt>
              </c:numCache>
            </c:numRef>
          </c:val>
          <c:extLst>
            <c:ext xmlns:c16="http://schemas.microsoft.com/office/drawing/2014/chart" uri="{C3380CC4-5D6E-409C-BE32-E72D297353CC}">
              <c16:uniqueId val="{00000003-3BBC-41B4-BB4F-F29721304D86}"/>
            </c:ext>
          </c:extLst>
        </c:ser>
        <c:dLbls>
          <c:showLegendKey val="0"/>
          <c:showVal val="0"/>
          <c:showCatName val="0"/>
          <c:showSerName val="0"/>
          <c:showPercent val="0"/>
          <c:showBubbleSize val="0"/>
        </c:dLbls>
        <c:gapWidth val="150"/>
        <c:overlap val="100"/>
        <c:axId val="300375304"/>
        <c:axId val="300378048"/>
      </c:barChart>
      <c:catAx>
        <c:axId val="300375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00378048"/>
        <c:crosses val="autoZero"/>
        <c:auto val="1"/>
        <c:lblAlgn val="ctr"/>
        <c:lblOffset val="100"/>
        <c:noMultiLvlLbl val="0"/>
      </c:catAx>
      <c:valAx>
        <c:axId val="30037804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a:t>Percentage of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00375304"/>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[Disability_analysis_21March2022_clean_pivots_v2_SB.xlsx]Sheet1!PivotTable27</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NZ"/>
              <a:t>Vaccination status by disability status and MOH funded disability client status- 12 years and older</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Sheet1!$I$46:$I$47</c:f>
              <c:strCache>
                <c:ptCount val="1"/>
                <c:pt idx="0">
                  <c:v>Three or more doses</c:v>
                </c:pt>
              </c:strCache>
            </c:strRef>
          </c:tx>
          <c:spPr>
            <a:solidFill>
              <a:srgbClr val="F7B735"/>
            </a:solidFill>
            <a:ln>
              <a:noFill/>
            </a:ln>
            <a:effectLst/>
          </c:spPr>
          <c:invertIfNegative val="0"/>
          <c:cat>
            <c:strRef>
              <c:f>Sheet1!$H$48:$H$50</c:f>
              <c:strCache>
                <c:ptCount val="2"/>
                <c:pt idx="0">
                  <c:v>MOH funded disability client</c:v>
                </c:pt>
                <c:pt idx="1">
                  <c:v>Non-MOH funded disability clients</c:v>
                </c:pt>
              </c:strCache>
            </c:strRef>
          </c:cat>
          <c:val>
            <c:numRef>
              <c:f>Sheet1!$I$48:$I$50</c:f>
              <c:numCache>
                <c:formatCode>0%</c:formatCode>
                <c:ptCount val="2"/>
                <c:pt idx="0">
                  <c:v>0.55424774560987189</c:v>
                </c:pt>
                <c:pt idx="1">
                  <c:v>0.66327454859427237</c:v>
                </c:pt>
              </c:numCache>
            </c:numRef>
          </c:val>
          <c:extLst>
            <c:ext xmlns:c16="http://schemas.microsoft.com/office/drawing/2014/chart" uri="{C3380CC4-5D6E-409C-BE32-E72D297353CC}">
              <c16:uniqueId val="{00000000-1D1C-46AE-AE6C-0B0444E25EFD}"/>
            </c:ext>
          </c:extLst>
        </c:ser>
        <c:ser>
          <c:idx val="1"/>
          <c:order val="1"/>
          <c:tx>
            <c:strRef>
              <c:f>Sheet1!$J$46:$J$47</c:f>
              <c:strCache>
                <c:ptCount val="1"/>
                <c:pt idx="0">
                  <c:v>Two doses</c:v>
                </c:pt>
              </c:strCache>
            </c:strRef>
          </c:tx>
          <c:spPr>
            <a:solidFill>
              <a:srgbClr val="26567F"/>
            </a:solidFill>
            <a:ln>
              <a:noFill/>
            </a:ln>
            <a:effectLst/>
          </c:spPr>
          <c:invertIfNegative val="0"/>
          <c:cat>
            <c:strRef>
              <c:f>Sheet1!$H$48:$H$50</c:f>
              <c:strCache>
                <c:ptCount val="2"/>
                <c:pt idx="0">
                  <c:v>MOH funded disability client</c:v>
                </c:pt>
                <c:pt idx="1">
                  <c:v>Non-MOH funded disability clients</c:v>
                </c:pt>
              </c:strCache>
            </c:strRef>
          </c:cat>
          <c:val>
            <c:numRef>
              <c:f>Sheet1!$J$48:$J$50</c:f>
              <c:numCache>
                <c:formatCode>0%</c:formatCode>
                <c:ptCount val="2"/>
                <c:pt idx="0">
                  <c:v>0.3464641670621737</c:v>
                </c:pt>
                <c:pt idx="1">
                  <c:v>0.2523381751841674</c:v>
                </c:pt>
              </c:numCache>
            </c:numRef>
          </c:val>
          <c:extLst>
            <c:ext xmlns:c16="http://schemas.microsoft.com/office/drawing/2014/chart" uri="{C3380CC4-5D6E-409C-BE32-E72D297353CC}">
              <c16:uniqueId val="{00000001-1D1C-46AE-AE6C-0B0444E25EFD}"/>
            </c:ext>
          </c:extLst>
        </c:ser>
        <c:ser>
          <c:idx val="2"/>
          <c:order val="2"/>
          <c:tx>
            <c:strRef>
              <c:f>Sheet1!$K$46:$K$47</c:f>
              <c:strCache>
                <c:ptCount val="1"/>
                <c:pt idx="0">
                  <c:v>One dose</c:v>
                </c:pt>
              </c:strCache>
            </c:strRef>
          </c:tx>
          <c:spPr>
            <a:solidFill>
              <a:srgbClr val="E8731B"/>
            </a:solidFill>
            <a:ln>
              <a:noFill/>
            </a:ln>
            <a:effectLst/>
          </c:spPr>
          <c:invertIfNegative val="0"/>
          <c:cat>
            <c:strRef>
              <c:f>Sheet1!$H$48:$H$50</c:f>
              <c:strCache>
                <c:ptCount val="2"/>
                <c:pt idx="0">
                  <c:v>MOH funded disability client</c:v>
                </c:pt>
                <c:pt idx="1">
                  <c:v>Non-MOH funded disability clients</c:v>
                </c:pt>
              </c:strCache>
            </c:strRef>
          </c:cat>
          <c:val>
            <c:numRef>
              <c:f>Sheet1!$K$48:$K$50</c:f>
              <c:numCache>
                <c:formatCode>0%</c:formatCode>
                <c:ptCount val="2"/>
                <c:pt idx="0">
                  <c:v>1.7940199335548173E-2</c:v>
                </c:pt>
                <c:pt idx="1">
                  <c:v>1.2036630769743949E-2</c:v>
                </c:pt>
              </c:numCache>
            </c:numRef>
          </c:val>
          <c:extLst>
            <c:ext xmlns:c16="http://schemas.microsoft.com/office/drawing/2014/chart" uri="{C3380CC4-5D6E-409C-BE32-E72D297353CC}">
              <c16:uniqueId val="{00000002-1D1C-46AE-AE6C-0B0444E25EFD}"/>
            </c:ext>
          </c:extLst>
        </c:ser>
        <c:ser>
          <c:idx val="3"/>
          <c:order val="3"/>
          <c:tx>
            <c:strRef>
              <c:f>Sheet1!$L$46:$L$47</c:f>
              <c:strCache>
                <c:ptCount val="1"/>
                <c:pt idx="0">
                  <c:v>No doses</c:v>
                </c:pt>
              </c:strCache>
            </c:strRef>
          </c:tx>
          <c:spPr>
            <a:solidFill>
              <a:srgbClr val="3A9CAE"/>
            </a:solidFill>
            <a:ln>
              <a:noFill/>
            </a:ln>
            <a:effectLst/>
          </c:spPr>
          <c:invertIfNegative val="0"/>
          <c:cat>
            <c:strRef>
              <c:f>Sheet1!$H$48:$H$50</c:f>
              <c:strCache>
                <c:ptCount val="2"/>
                <c:pt idx="0">
                  <c:v>MOH funded disability client</c:v>
                </c:pt>
                <c:pt idx="1">
                  <c:v>Non-MOH funded disability clients</c:v>
                </c:pt>
              </c:strCache>
            </c:strRef>
          </c:cat>
          <c:val>
            <c:numRef>
              <c:f>Sheet1!$L$48:$L$50</c:f>
              <c:numCache>
                <c:formatCode>0%</c:formatCode>
                <c:ptCount val="2"/>
                <c:pt idx="0">
                  <c:v>8.1347887992406262E-2</c:v>
                </c:pt>
                <c:pt idx="1">
                  <c:v>7.235064545181627E-2</c:v>
                </c:pt>
              </c:numCache>
            </c:numRef>
          </c:val>
          <c:extLst>
            <c:ext xmlns:c16="http://schemas.microsoft.com/office/drawing/2014/chart" uri="{C3380CC4-5D6E-409C-BE32-E72D297353CC}">
              <c16:uniqueId val="{00000003-1D1C-46AE-AE6C-0B0444E25EFD}"/>
            </c:ext>
          </c:extLst>
        </c:ser>
        <c:dLbls>
          <c:showLegendKey val="0"/>
          <c:showVal val="0"/>
          <c:showCatName val="0"/>
          <c:showSerName val="0"/>
          <c:showPercent val="0"/>
          <c:showBubbleSize val="0"/>
        </c:dLbls>
        <c:gapWidth val="150"/>
        <c:overlap val="100"/>
        <c:axId val="300376480"/>
        <c:axId val="433155000"/>
      </c:barChart>
      <c:catAx>
        <c:axId val="30037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33155000"/>
        <c:crosses val="autoZero"/>
        <c:auto val="1"/>
        <c:lblAlgn val="ctr"/>
        <c:lblOffset val="100"/>
        <c:noMultiLvlLbl val="0"/>
      </c:catAx>
      <c:valAx>
        <c:axId val="43315500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a:t>Percentage of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00376480"/>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[Disability_analysis_11March2022_clean - appendix A&amp;B_butchered.xlsx]Adult_tables_charts!PivotTable7</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NZ"/>
              <a:t>Vaccination status by disability status across upper North Island DHBs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Adult_tables_charts!$AB$26</c:f>
              <c:strCache>
                <c:ptCount val="1"/>
                <c:pt idx="0">
                  <c:v>Three or more doses</c:v>
                </c:pt>
              </c:strCache>
            </c:strRef>
          </c:tx>
          <c:spPr>
            <a:solidFill>
              <a:srgbClr val="F7B735"/>
            </a:solidFill>
            <a:ln>
              <a:noFill/>
            </a:ln>
            <a:effectLst/>
          </c:spPr>
          <c:invertIfNegative val="0"/>
          <c:cat>
            <c:multiLvlStrRef>
              <c:f>Adult_tables_charts!$AA$27:$AA$54</c:f>
              <c:multiLvlStrCache>
                <c:ptCount val="18"/>
                <c:lvl>
                  <c:pt idx="0">
                    <c:v>Non-disabled</c:v>
                  </c:pt>
                  <c:pt idx="1">
                    <c:v>Disabled</c:v>
                  </c:pt>
                  <c:pt idx="2">
                    <c:v>Non-disabled</c:v>
                  </c:pt>
                  <c:pt idx="3">
                    <c:v>Disabled</c:v>
                  </c:pt>
                  <c:pt idx="4">
                    <c:v>Non-disabled</c:v>
                  </c:pt>
                  <c:pt idx="5">
                    <c:v>Disabled</c:v>
                  </c:pt>
                  <c:pt idx="6">
                    <c:v>Non-disabled</c:v>
                  </c:pt>
                  <c:pt idx="7">
                    <c:v>Disabled</c:v>
                  </c:pt>
                  <c:pt idx="8">
                    <c:v>Non-disabled</c:v>
                  </c:pt>
                  <c:pt idx="9">
                    <c:v>Disabled</c:v>
                  </c:pt>
                  <c:pt idx="10">
                    <c:v>Non-disabled</c:v>
                  </c:pt>
                  <c:pt idx="11">
                    <c:v>Disabled</c:v>
                  </c:pt>
                  <c:pt idx="12">
                    <c:v>Non-disabled</c:v>
                  </c:pt>
                  <c:pt idx="13">
                    <c:v>Disabled</c:v>
                  </c:pt>
                  <c:pt idx="14">
                    <c:v>Non-disabled</c:v>
                  </c:pt>
                  <c:pt idx="15">
                    <c:v>Disabled</c:v>
                  </c:pt>
                  <c:pt idx="16">
                    <c:v>Non-disabled</c:v>
                  </c:pt>
                  <c:pt idx="17">
                    <c:v>Disabled</c:v>
                  </c:pt>
                </c:lvl>
                <c:lvl>
                  <c:pt idx="0">
                    <c:v>All DHBs</c:v>
                  </c:pt>
                  <c:pt idx="2">
                    <c:v>Northland</c:v>
                  </c:pt>
                  <c:pt idx="4">
                    <c:v>Auckland</c:v>
                  </c:pt>
                  <c:pt idx="6">
                    <c:v>Waitemata</c:v>
                  </c:pt>
                  <c:pt idx="8">
                    <c:v>Counties Manukau</c:v>
                  </c:pt>
                  <c:pt idx="10">
                    <c:v>Bay of Plenty</c:v>
                  </c:pt>
                  <c:pt idx="12">
                    <c:v>Waikato</c:v>
                  </c:pt>
                  <c:pt idx="14">
                    <c:v>Tairawhiti</c:v>
                  </c:pt>
                  <c:pt idx="16">
                    <c:v>Lakes</c:v>
                  </c:pt>
                </c:lvl>
              </c:multiLvlStrCache>
            </c:multiLvlStrRef>
          </c:cat>
          <c:val>
            <c:numRef>
              <c:f>Adult_tables_charts!$AB$27:$AB$54</c:f>
              <c:numCache>
                <c:formatCode>0%</c:formatCode>
                <c:ptCount val="18"/>
                <c:pt idx="0">
                  <c:v>0.48392463502890654</c:v>
                </c:pt>
                <c:pt idx="1">
                  <c:v>0.66198757981983969</c:v>
                </c:pt>
                <c:pt idx="2">
                  <c:v>0.39834809176117236</c:v>
                </c:pt>
                <c:pt idx="3">
                  <c:v>0.60474128105767044</c:v>
                </c:pt>
                <c:pt idx="4">
                  <c:v>0.54737037474479899</c:v>
                </c:pt>
                <c:pt idx="5">
                  <c:v>0.70311710193765797</c:v>
                </c:pt>
                <c:pt idx="6">
                  <c:v>0.49908110155581431</c:v>
                </c:pt>
                <c:pt idx="7">
                  <c:v>0.66565414461662598</c:v>
                </c:pt>
                <c:pt idx="8">
                  <c:v>0.45040702656383891</c:v>
                </c:pt>
                <c:pt idx="9">
                  <c:v>0.63373603707374571</c:v>
                </c:pt>
                <c:pt idx="10">
                  <c:v>0.41232960471891522</c:v>
                </c:pt>
                <c:pt idx="11">
                  <c:v>0.62944093778178534</c:v>
                </c:pt>
                <c:pt idx="12">
                  <c:v>0.43368336566115978</c:v>
                </c:pt>
                <c:pt idx="13">
                  <c:v>0.61995956726040868</c:v>
                </c:pt>
                <c:pt idx="14">
                  <c:v>0.3853568299094538</c:v>
                </c:pt>
                <c:pt idx="15">
                  <c:v>0.6152281970176231</c:v>
                </c:pt>
                <c:pt idx="16">
                  <c:v>0.40848429067481068</c:v>
                </c:pt>
                <c:pt idx="17">
                  <c:v>0.62353185739528116</c:v>
                </c:pt>
              </c:numCache>
            </c:numRef>
          </c:val>
          <c:extLst>
            <c:ext xmlns:c16="http://schemas.microsoft.com/office/drawing/2014/chart" uri="{C3380CC4-5D6E-409C-BE32-E72D297353CC}">
              <c16:uniqueId val="{00000000-A0C7-4BCC-9517-077EB735E566}"/>
            </c:ext>
          </c:extLst>
        </c:ser>
        <c:ser>
          <c:idx val="1"/>
          <c:order val="1"/>
          <c:tx>
            <c:strRef>
              <c:f>Adult_tables_charts!$AC$26</c:f>
              <c:strCache>
                <c:ptCount val="1"/>
                <c:pt idx="0">
                  <c:v>Two doses</c:v>
                </c:pt>
              </c:strCache>
            </c:strRef>
          </c:tx>
          <c:spPr>
            <a:solidFill>
              <a:srgbClr val="26567F"/>
            </a:solidFill>
            <a:ln>
              <a:noFill/>
            </a:ln>
            <a:effectLst/>
          </c:spPr>
          <c:invertIfNegative val="0"/>
          <c:cat>
            <c:multiLvlStrRef>
              <c:f>Adult_tables_charts!$AA$27:$AA$54</c:f>
              <c:multiLvlStrCache>
                <c:ptCount val="18"/>
                <c:lvl>
                  <c:pt idx="0">
                    <c:v>Non-disabled</c:v>
                  </c:pt>
                  <c:pt idx="1">
                    <c:v>Disabled</c:v>
                  </c:pt>
                  <c:pt idx="2">
                    <c:v>Non-disabled</c:v>
                  </c:pt>
                  <c:pt idx="3">
                    <c:v>Disabled</c:v>
                  </c:pt>
                  <c:pt idx="4">
                    <c:v>Non-disabled</c:v>
                  </c:pt>
                  <c:pt idx="5">
                    <c:v>Disabled</c:v>
                  </c:pt>
                  <c:pt idx="6">
                    <c:v>Non-disabled</c:v>
                  </c:pt>
                  <c:pt idx="7">
                    <c:v>Disabled</c:v>
                  </c:pt>
                  <c:pt idx="8">
                    <c:v>Non-disabled</c:v>
                  </c:pt>
                  <c:pt idx="9">
                    <c:v>Disabled</c:v>
                  </c:pt>
                  <c:pt idx="10">
                    <c:v>Non-disabled</c:v>
                  </c:pt>
                  <c:pt idx="11">
                    <c:v>Disabled</c:v>
                  </c:pt>
                  <c:pt idx="12">
                    <c:v>Non-disabled</c:v>
                  </c:pt>
                  <c:pt idx="13">
                    <c:v>Disabled</c:v>
                  </c:pt>
                  <c:pt idx="14">
                    <c:v>Non-disabled</c:v>
                  </c:pt>
                  <c:pt idx="15">
                    <c:v>Disabled</c:v>
                  </c:pt>
                  <c:pt idx="16">
                    <c:v>Non-disabled</c:v>
                  </c:pt>
                  <c:pt idx="17">
                    <c:v>Disabled</c:v>
                  </c:pt>
                </c:lvl>
                <c:lvl>
                  <c:pt idx="0">
                    <c:v>All DHBs</c:v>
                  </c:pt>
                  <c:pt idx="2">
                    <c:v>Northland</c:v>
                  </c:pt>
                  <c:pt idx="4">
                    <c:v>Auckland</c:v>
                  </c:pt>
                  <c:pt idx="6">
                    <c:v>Waitemata</c:v>
                  </c:pt>
                  <c:pt idx="8">
                    <c:v>Counties Manukau</c:v>
                  </c:pt>
                  <c:pt idx="10">
                    <c:v>Bay of Plenty</c:v>
                  </c:pt>
                  <c:pt idx="12">
                    <c:v>Waikato</c:v>
                  </c:pt>
                  <c:pt idx="14">
                    <c:v>Tairawhiti</c:v>
                  </c:pt>
                  <c:pt idx="16">
                    <c:v>Lakes</c:v>
                  </c:pt>
                </c:lvl>
              </c:multiLvlStrCache>
            </c:multiLvlStrRef>
          </c:cat>
          <c:val>
            <c:numRef>
              <c:f>Adult_tables_charts!$AC$27:$AC$54</c:f>
              <c:numCache>
                <c:formatCode>0%</c:formatCode>
                <c:ptCount val="18"/>
                <c:pt idx="0">
                  <c:v>0.37631835553891868</c:v>
                </c:pt>
                <c:pt idx="1">
                  <c:v>0.25359581013219945</c:v>
                </c:pt>
                <c:pt idx="2">
                  <c:v>0.38685205323390814</c:v>
                </c:pt>
                <c:pt idx="3">
                  <c:v>0.26487348985639392</c:v>
                </c:pt>
                <c:pt idx="4">
                  <c:v>0.34153070005230568</c:v>
                </c:pt>
                <c:pt idx="5">
                  <c:v>0.23191238416175231</c:v>
                </c:pt>
                <c:pt idx="6">
                  <c:v>0.37602586944627603</c:v>
                </c:pt>
                <c:pt idx="7">
                  <c:v>0.25242649327226557</c:v>
                </c:pt>
                <c:pt idx="8">
                  <c:v>0.42205288284979803</c:v>
                </c:pt>
                <c:pt idx="9">
                  <c:v>0.28683935603118055</c:v>
                </c:pt>
                <c:pt idx="10">
                  <c:v>0.40790562169550049</c:v>
                </c:pt>
                <c:pt idx="11">
                  <c:v>0.26352569882777277</c:v>
                </c:pt>
                <c:pt idx="12">
                  <c:v>0.41392994894432927</c:v>
                </c:pt>
                <c:pt idx="13">
                  <c:v>0.28338432958146653</c:v>
                </c:pt>
                <c:pt idx="14">
                  <c:v>0.43286924350111966</c:v>
                </c:pt>
                <c:pt idx="15">
                  <c:v>0.28219611387257115</c:v>
                </c:pt>
                <c:pt idx="16">
                  <c:v>0.41756264903986945</c:v>
                </c:pt>
                <c:pt idx="17">
                  <c:v>0.27720611163080761</c:v>
                </c:pt>
              </c:numCache>
            </c:numRef>
          </c:val>
          <c:extLst>
            <c:ext xmlns:c16="http://schemas.microsoft.com/office/drawing/2014/chart" uri="{C3380CC4-5D6E-409C-BE32-E72D297353CC}">
              <c16:uniqueId val="{00000001-A0C7-4BCC-9517-077EB735E566}"/>
            </c:ext>
          </c:extLst>
        </c:ser>
        <c:ser>
          <c:idx val="2"/>
          <c:order val="2"/>
          <c:tx>
            <c:strRef>
              <c:f>Adult_tables_charts!$AD$26</c:f>
              <c:strCache>
                <c:ptCount val="1"/>
                <c:pt idx="0">
                  <c:v>One dose</c:v>
                </c:pt>
              </c:strCache>
            </c:strRef>
          </c:tx>
          <c:spPr>
            <a:solidFill>
              <a:srgbClr val="E8731B"/>
            </a:solidFill>
            <a:ln>
              <a:noFill/>
            </a:ln>
            <a:effectLst/>
          </c:spPr>
          <c:invertIfNegative val="0"/>
          <c:cat>
            <c:multiLvlStrRef>
              <c:f>Adult_tables_charts!$AA$27:$AA$54</c:f>
              <c:multiLvlStrCache>
                <c:ptCount val="18"/>
                <c:lvl>
                  <c:pt idx="0">
                    <c:v>Non-disabled</c:v>
                  </c:pt>
                  <c:pt idx="1">
                    <c:v>Disabled</c:v>
                  </c:pt>
                  <c:pt idx="2">
                    <c:v>Non-disabled</c:v>
                  </c:pt>
                  <c:pt idx="3">
                    <c:v>Disabled</c:v>
                  </c:pt>
                  <c:pt idx="4">
                    <c:v>Non-disabled</c:v>
                  </c:pt>
                  <c:pt idx="5">
                    <c:v>Disabled</c:v>
                  </c:pt>
                  <c:pt idx="6">
                    <c:v>Non-disabled</c:v>
                  </c:pt>
                  <c:pt idx="7">
                    <c:v>Disabled</c:v>
                  </c:pt>
                  <c:pt idx="8">
                    <c:v>Non-disabled</c:v>
                  </c:pt>
                  <c:pt idx="9">
                    <c:v>Disabled</c:v>
                  </c:pt>
                  <c:pt idx="10">
                    <c:v>Non-disabled</c:v>
                  </c:pt>
                  <c:pt idx="11">
                    <c:v>Disabled</c:v>
                  </c:pt>
                  <c:pt idx="12">
                    <c:v>Non-disabled</c:v>
                  </c:pt>
                  <c:pt idx="13">
                    <c:v>Disabled</c:v>
                  </c:pt>
                  <c:pt idx="14">
                    <c:v>Non-disabled</c:v>
                  </c:pt>
                  <c:pt idx="15">
                    <c:v>Disabled</c:v>
                  </c:pt>
                  <c:pt idx="16">
                    <c:v>Non-disabled</c:v>
                  </c:pt>
                  <c:pt idx="17">
                    <c:v>Disabled</c:v>
                  </c:pt>
                </c:lvl>
                <c:lvl>
                  <c:pt idx="0">
                    <c:v>All DHBs</c:v>
                  </c:pt>
                  <c:pt idx="2">
                    <c:v>Northland</c:v>
                  </c:pt>
                  <c:pt idx="4">
                    <c:v>Auckland</c:v>
                  </c:pt>
                  <c:pt idx="6">
                    <c:v>Waitemata</c:v>
                  </c:pt>
                  <c:pt idx="8">
                    <c:v>Counties Manukau</c:v>
                  </c:pt>
                  <c:pt idx="10">
                    <c:v>Bay of Plenty</c:v>
                  </c:pt>
                  <c:pt idx="12">
                    <c:v>Waikato</c:v>
                  </c:pt>
                  <c:pt idx="14">
                    <c:v>Tairawhiti</c:v>
                  </c:pt>
                  <c:pt idx="16">
                    <c:v>Lakes</c:v>
                  </c:pt>
                </c:lvl>
              </c:multiLvlStrCache>
            </c:multiLvlStrRef>
          </c:cat>
          <c:val>
            <c:numRef>
              <c:f>Adult_tables_charts!$AD$27:$AD$54</c:f>
              <c:numCache>
                <c:formatCode>0%</c:formatCode>
                <c:ptCount val="18"/>
                <c:pt idx="0">
                  <c:v>2.108814300304547E-2</c:v>
                </c:pt>
                <c:pt idx="1">
                  <c:v>1.2089242780174845E-2</c:v>
                </c:pt>
                <c:pt idx="2">
                  <c:v>2.9749883486096008E-2</c:v>
                </c:pt>
                <c:pt idx="3">
                  <c:v>1.5557328470480967E-2</c:v>
                </c:pt>
                <c:pt idx="4">
                  <c:v>1.7151197124875565E-2</c:v>
                </c:pt>
                <c:pt idx="5">
                  <c:v>8.8626790227464194E-3</c:v>
                </c:pt>
                <c:pt idx="6">
                  <c:v>1.9935186094471178E-2</c:v>
                </c:pt>
                <c:pt idx="7">
                  <c:v>1.300458008021073E-2</c:v>
                </c:pt>
                <c:pt idx="8">
                  <c:v>1.9471477537030237E-2</c:v>
                </c:pt>
                <c:pt idx="9">
                  <c:v>1.1384640111435536E-2</c:v>
                </c:pt>
                <c:pt idx="10">
                  <c:v>2.4385857641261735E-2</c:v>
                </c:pt>
                <c:pt idx="11">
                  <c:v>1.2623985572587917E-2</c:v>
                </c:pt>
                <c:pt idx="12">
                  <c:v>2.153702093505451E-2</c:v>
                </c:pt>
                <c:pt idx="13">
                  <c:v>1.2840126762102503E-2</c:v>
                </c:pt>
                <c:pt idx="14">
                  <c:v>3.0863596533930483E-2</c:v>
                </c:pt>
                <c:pt idx="15">
                  <c:v>1.6945323090826931E-2</c:v>
                </c:pt>
                <c:pt idx="16">
                  <c:v>2.6942224825335731E-2</c:v>
                </c:pt>
                <c:pt idx="17">
                  <c:v>1.2888473131691093E-2</c:v>
                </c:pt>
              </c:numCache>
            </c:numRef>
          </c:val>
          <c:extLst>
            <c:ext xmlns:c16="http://schemas.microsoft.com/office/drawing/2014/chart" uri="{C3380CC4-5D6E-409C-BE32-E72D297353CC}">
              <c16:uniqueId val="{00000002-A0C7-4BCC-9517-077EB735E566}"/>
            </c:ext>
          </c:extLst>
        </c:ser>
        <c:ser>
          <c:idx val="3"/>
          <c:order val="3"/>
          <c:tx>
            <c:strRef>
              <c:f>Adult_tables_charts!$AE$26</c:f>
              <c:strCache>
                <c:ptCount val="1"/>
                <c:pt idx="0">
                  <c:v>No doses</c:v>
                </c:pt>
              </c:strCache>
            </c:strRef>
          </c:tx>
          <c:spPr>
            <a:solidFill>
              <a:srgbClr val="3A9CAE"/>
            </a:solidFill>
            <a:ln>
              <a:noFill/>
            </a:ln>
            <a:effectLst/>
          </c:spPr>
          <c:invertIfNegative val="0"/>
          <c:cat>
            <c:multiLvlStrRef>
              <c:f>Adult_tables_charts!$AA$27:$AA$54</c:f>
              <c:multiLvlStrCache>
                <c:ptCount val="18"/>
                <c:lvl>
                  <c:pt idx="0">
                    <c:v>Non-disabled</c:v>
                  </c:pt>
                  <c:pt idx="1">
                    <c:v>Disabled</c:v>
                  </c:pt>
                  <c:pt idx="2">
                    <c:v>Non-disabled</c:v>
                  </c:pt>
                  <c:pt idx="3">
                    <c:v>Disabled</c:v>
                  </c:pt>
                  <c:pt idx="4">
                    <c:v>Non-disabled</c:v>
                  </c:pt>
                  <c:pt idx="5">
                    <c:v>Disabled</c:v>
                  </c:pt>
                  <c:pt idx="6">
                    <c:v>Non-disabled</c:v>
                  </c:pt>
                  <c:pt idx="7">
                    <c:v>Disabled</c:v>
                  </c:pt>
                  <c:pt idx="8">
                    <c:v>Non-disabled</c:v>
                  </c:pt>
                  <c:pt idx="9">
                    <c:v>Disabled</c:v>
                  </c:pt>
                  <c:pt idx="10">
                    <c:v>Non-disabled</c:v>
                  </c:pt>
                  <c:pt idx="11">
                    <c:v>Disabled</c:v>
                  </c:pt>
                  <c:pt idx="12">
                    <c:v>Non-disabled</c:v>
                  </c:pt>
                  <c:pt idx="13">
                    <c:v>Disabled</c:v>
                  </c:pt>
                  <c:pt idx="14">
                    <c:v>Non-disabled</c:v>
                  </c:pt>
                  <c:pt idx="15">
                    <c:v>Disabled</c:v>
                  </c:pt>
                  <c:pt idx="16">
                    <c:v>Non-disabled</c:v>
                  </c:pt>
                  <c:pt idx="17">
                    <c:v>Disabled</c:v>
                  </c:pt>
                </c:lvl>
                <c:lvl>
                  <c:pt idx="0">
                    <c:v>All DHBs</c:v>
                  </c:pt>
                  <c:pt idx="2">
                    <c:v>Northland</c:v>
                  </c:pt>
                  <c:pt idx="4">
                    <c:v>Auckland</c:v>
                  </c:pt>
                  <c:pt idx="6">
                    <c:v>Waitemata</c:v>
                  </c:pt>
                  <c:pt idx="8">
                    <c:v>Counties Manukau</c:v>
                  </c:pt>
                  <c:pt idx="10">
                    <c:v>Bay of Plenty</c:v>
                  </c:pt>
                  <c:pt idx="12">
                    <c:v>Waikato</c:v>
                  </c:pt>
                  <c:pt idx="14">
                    <c:v>Tairawhiti</c:v>
                  </c:pt>
                  <c:pt idx="16">
                    <c:v>Lakes</c:v>
                  </c:pt>
                </c:lvl>
              </c:multiLvlStrCache>
            </c:multiLvlStrRef>
          </c:cat>
          <c:val>
            <c:numRef>
              <c:f>Adult_tables_charts!$AE$27:$AE$54</c:f>
              <c:numCache>
                <c:formatCode>0%</c:formatCode>
                <c:ptCount val="18"/>
                <c:pt idx="0">
                  <c:v>0.11866886642912929</c:v>
                </c:pt>
                <c:pt idx="1">
                  <c:v>7.2327367267786005E-2</c:v>
                </c:pt>
                <c:pt idx="2">
                  <c:v>0.18504997151882346</c:v>
                </c:pt>
                <c:pt idx="3">
                  <c:v>0.11482790061545475</c:v>
                </c:pt>
                <c:pt idx="4">
                  <c:v>9.3947728078019807E-2</c:v>
                </c:pt>
                <c:pt idx="5">
                  <c:v>5.61078348778433E-2</c:v>
                </c:pt>
                <c:pt idx="6">
                  <c:v>0.1049578429034385</c:v>
                </c:pt>
                <c:pt idx="7">
                  <c:v>6.8914782030897737E-2</c:v>
                </c:pt>
                <c:pt idx="8">
                  <c:v>0.10806861304933284</c:v>
                </c:pt>
                <c:pt idx="9">
                  <c:v>6.8039966783638259E-2</c:v>
                </c:pt>
                <c:pt idx="10">
                  <c:v>0.15537891594432254</c:v>
                </c:pt>
                <c:pt idx="11">
                  <c:v>9.4409377817853926E-2</c:v>
                </c:pt>
                <c:pt idx="12">
                  <c:v>0.13084966445945645</c:v>
                </c:pt>
                <c:pt idx="13">
                  <c:v>8.3815976396022299E-2</c:v>
                </c:pt>
                <c:pt idx="14">
                  <c:v>0.15091033005549606</c:v>
                </c:pt>
                <c:pt idx="15">
                  <c:v>8.5630366018978762E-2</c:v>
                </c:pt>
                <c:pt idx="16">
                  <c:v>0.14701083545998411</c:v>
                </c:pt>
                <c:pt idx="17">
                  <c:v>8.6373557842220144E-2</c:v>
                </c:pt>
              </c:numCache>
            </c:numRef>
          </c:val>
          <c:extLst>
            <c:ext xmlns:c16="http://schemas.microsoft.com/office/drawing/2014/chart" uri="{C3380CC4-5D6E-409C-BE32-E72D297353CC}">
              <c16:uniqueId val="{00000003-A0C7-4BCC-9517-077EB735E566}"/>
            </c:ext>
          </c:extLst>
        </c:ser>
        <c:dLbls>
          <c:showLegendKey val="0"/>
          <c:showVal val="0"/>
          <c:showCatName val="0"/>
          <c:showSerName val="0"/>
          <c:showPercent val="0"/>
          <c:showBubbleSize val="0"/>
        </c:dLbls>
        <c:gapWidth val="150"/>
        <c:overlap val="100"/>
        <c:axId val="1009136072"/>
        <c:axId val="1009136856"/>
      </c:barChart>
      <c:catAx>
        <c:axId val="1009136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09136856"/>
        <c:crosses val="autoZero"/>
        <c:auto val="1"/>
        <c:lblAlgn val="ctr"/>
        <c:lblOffset val="100"/>
        <c:noMultiLvlLbl val="0"/>
      </c:catAx>
      <c:valAx>
        <c:axId val="100913685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a:t>Percentage of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09136072"/>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[Disability_analysis_21March2022_clean_pivots_v2_SB.xlsx]Sheet1!PivotTable22</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NZ"/>
              <a:t>Vaccination status by disability status and sex - 12 years and older</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2"/>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Sheet1!$B$163:$B$164</c:f>
              <c:strCache>
                <c:ptCount val="1"/>
                <c:pt idx="0">
                  <c:v>Three or more doses</c:v>
                </c:pt>
              </c:strCache>
            </c:strRef>
          </c:tx>
          <c:spPr>
            <a:solidFill>
              <a:srgbClr val="F7B735"/>
            </a:solidFill>
            <a:ln>
              <a:noFill/>
            </a:ln>
            <a:effectLst/>
          </c:spPr>
          <c:invertIfNegative val="0"/>
          <c:cat>
            <c:multiLvlStrRef>
              <c:f>Sheet1!$A$165:$A$171</c:f>
              <c:multiLvlStrCache>
                <c:ptCount val="4"/>
                <c:lvl>
                  <c:pt idx="0">
                    <c:v>Non-disabled</c:v>
                  </c:pt>
                  <c:pt idx="1">
                    <c:v>Disabled</c:v>
                  </c:pt>
                  <c:pt idx="2">
                    <c:v>Non-disabled</c:v>
                  </c:pt>
                  <c:pt idx="3">
                    <c:v>Disabled</c:v>
                  </c:pt>
                </c:lvl>
                <c:lvl>
                  <c:pt idx="0">
                    <c:v>Male</c:v>
                  </c:pt>
                  <c:pt idx="2">
                    <c:v>Female</c:v>
                  </c:pt>
                </c:lvl>
              </c:multiLvlStrCache>
            </c:multiLvlStrRef>
          </c:cat>
          <c:val>
            <c:numRef>
              <c:f>Sheet1!$B$165:$B$171</c:f>
              <c:numCache>
                <c:formatCode>0%</c:formatCode>
                <c:ptCount val="4"/>
                <c:pt idx="0">
                  <c:v>0.45231337426711604</c:v>
                </c:pt>
                <c:pt idx="1">
                  <c:v>0.64838290050927705</c:v>
                </c:pt>
                <c:pt idx="2">
                  <c:v>0.51694825540039335</c:v>
                </c:pt>
                <c:pt idx="3">
                  <c:v>0.67125670800397375</c:v>
                </c:pt>
              </c:numCache>
            </c:numRef>
          </c:val>
          <c:extLst>
            <c:ext xmlns:c16="http://schemas.microsoft.com/office/drawing/2014/chart" uri="{C3380CC4-5D6E-409C-BE32-E72D297353CC}">
              <c16:uniqueId val="{00000000-9C5D-41EF-9ABD-7111B2F50AF2}"/>
            </c:ext>
          </c:extLst>
        </c:ser>
        <c:ser>
          <c:idx val="1"/>
          <c:order val="1"/>
          <c:tx>
            <c:strRef>
              <c:f>Sheet1!$C$163:$C$164</c:f>
              <c:strCache>
                <c:ptCount val="1"/>
                <c:pt idx="0">
                  <c:v>Two doses</c:v>
                </c:pt>
              </c:strCache>
            </c:strRef>
          </c:tx>
          <c:spPr>
            <a:solidFill>
              <a:srgbClr val="26567F"/>
            </a:solidFill>
            <a:ln>
              <a:noFill/>
            </a:ln>
            <a:effectLst/>
          </c:spPr>
          <c:invertIfNegative val="0"/>
          <c:cat>
            <c:multiLvlStrRef>
              <c:f>Sheet1!$A$165:$A$171</c:f>
              <c:multiLvlStrCache>
                <c:ptCount val="4"/>
                <c:lvl>
                  <c:pt idx="0">
                    <c:v>Non-disabled</c:v>
                  </c:pt>
                  <c:pt idx="1">
                    <c:v>Disabled</c:v>
                  </c:pt>
                  <c:pt idx="2">
                    <c:v>Non-disabled</c:v>
                  </c:pt>
                  <c:pt idx="3">
                    <c:v>Disabled</c:v>
                  </c:pt>
                </c:lvl>
                <c:lvl>
                  <c:pt idx="0">
                    <c:v>Male</c:v>
                  </c:pt>
                  <c:pt idx="2">
                    <c:v>Female</c:v>
                  </c:pt>
                </c:lvl>
              </c:multiLvlStrCache>
            </c:multiLvlStrRef>
          </c:cat>
          <c:val>
            <c:numRef>
              <c:f>Sheet1!$C$165:$C$171</c:f>
              <c:numCache>
                <c:formatCode>0%</c:formatCode>
                <c:ptCount val="4"/>
                <c:pt idx="0">
                  <c:v>0.40587230506440147</c:v>
                </c:pt>
                <c:pt idx="1">
                  <c:v>0.2680893420477467</c:v>
                </c:pt>
                <c:pt idx="2">
                  <c:v>0.34640707386062891</c:v>
                </c:pt>
                <c:pt idx="3">
                  <c:v>0.24283806201071378</c:v>
                </c:pt>
              </c:numCache>
            </c:numRef>
          </c:val>
          <c:extLst>
            <c:ext xmlns:c16="http://schemas.microsoft.com/office/drawing/2014/chart" uri="{C3380CC4-5D6E-409C-BE32-E72D297353CC}">
              <c16:uniqueId val="{00000001-9C5D-41EF-9ABD-7111B2F50AF2}"/>
            </c:ext>
          </c:extLst>
        </c:ser>
        <c:ser>
          <c:idx val="2"/>
          <c:order val="2"/>
          <c:tx>
            <c:strRef>
              <c:f>Sheet1!$D$163:$D$164</c:f>
              <c:strCache>
                <c:ptCount val="1"/>
                <c:pt idx="0">
                  <c:v>One dose</c:v>
                </c:pt>
              </c:strCache>
            </c:strRef>
          </c:tx>
          <c:spPr>
            <a:solidFill>
              <a:srgbClr val="E8731B"/>
            </a:solidFill>
            <a:ln>
              <a:noFill/>
            </a:ln>
            <a:effectLst/>
          </c:spPr>
          <c:invertIfNegative val="0"/>
          <c:cat>
            <c:multiLvlStrRef>
              <c:f>Sheet1!$A$165:$A$171</c:f>
              <c:multiLvlStrCache>
                <c:ptCount val="4"/>
                <c:lvl>
                  <c:pt idx="0">
                    <c:v>Non-disabled</c:v>
                  </c:pt>
                  <c:pt idx="1">
                    <c:v>Disabled</c:v>
                  </c:pt>
                  <c:pt idx="2">
                    <c:v>Non-disabled</c:v>
                  </c:pt>
                  <c:pt idx="3">
                    <c:v>Disabled</c:v>
                  </c:pt>
                </c:lvl>
                <c:lvl>
                  <c:pt idx="0">
                    <c:v>Male</c:v>
                  </c:pt>
                  <c:pt idx="2">
                    <c:v>Female</c:v>
                  </c:pt>
                </c:lvl>
              </c:multiLvlStrCache>
            </c:multiLvlStrRef>
          </c:cat>
          <c:val>
            <c:numRef>
              <c:f>Sheet1!$D$165:$D$171</c:f>
              <c:numCache>
                <c:formatCode>0%</c:formatCode>
                <c:ptCount val="4"/>
                <c:pt idx="0">
                  <c:v>2.4406998753520152E-2</c:v>
                </c:pt>
                <c:pt idx="1">
                  <c:v>1.3751007230996908E-2</c:v>
                </c:pt>
                <c:pt idx="2">
                  <c:v>1.7714367432902514E-2</c:v>
                </c:pt>
                <c:pt idx="3">
                  <c:v>1.0789845187111126E-2</c:v>
                </c:pt>
              </c:numCache>
            </c:numRef>
          </c:val>
          <c:extLst>
            <c:ext xmlns:c16="http://schemas.microsoft.com/office/drawing/2014/chart" uri="{C3380CC4-5D6E-409C-BE32-E72D297353CC}">
              <c16:uniqueId val="{00000002-9C5D-41EF-9ABD-7111B2F50AF2}"/>
            </c:ext>
          </c:extLst>
        </c:ser>
        <c:ser>
          <c:idx val="3"/>
          <c:order val="3"/>
          <c:tx>
            <c:strRef>
              <c:f>Sheet1!$E$163:$E$164</c:f>
              <c:strCache>
                <c:ptCount val="1"/>
                <c:pt idx="0">
                  <c:v>No doses</c:v>
                </c:pt>
              </c:strCache>
            </c:strRef>
          </c:tx>
          <c:spPr>
            <a:solidFill>
              <a:srgbClr val="3A9CAE"/>
            </a:solidFill>
            <a:ln>
              <a:noFill/>
            </a:ln>
            <a:effectLst/>
          </c:spPr>
          <c:invertIfNegative val="0"/>
          <c:cat>
            <c:multiLvlStrRef>
              <c:f>Sheet1!$A$165:$A$171</c:f>
              <c:multiLvlStrCache>
                <c:ptCount val="4"/>
                <c:lvl>
                  <c:pt idx="0">
                    <c:v>Non-disabled</c:v>
                  </c:pt>
                  <c:pt idx="1">
                    <c:v>Disabled</c:v>
                  </c:pt>
                  <c:pt idx="2">
                    <c:v>Non-disabled</c:v>
                  </c:pt>
                  <c:pt idx="3">
                    <c:v>Disabled</c:v>
                  </c:pt>
                </c:lvl>
                <c:lvl>
                  <c:pt idx="0">
                    <c:v>Male</c:v>
                  </c:pt>
                  <c:pt idx="2">
                    <c:v>Female</c:v>
                  </c:pt>
                </c:lvl>
              </c:multiLvlStrCache>
            </c:multiLvlStrRef>
          </c:cat>
          <c:val>
            <c:numRef>
              <c:f>Sheet1!$E$165:$E$171</c:f>
              <c:numCache>
                <c:formatCode>0%</c:formatCode>
                <c:ptCount val="4"/>
                <c:pt idx="0">
                  <c:v>0.11740732191496238</c:v>
                </c:pt>
                <c:pt idx="1">
                  <c:v>6.9776750211979335E-2</c:v>
                </c:pt>
                <c:pt idx="2">
                  <c:v>0.11893030330607522</c:v>
                </c:pt>
                <c:pt idx="3">
                  <c:v>7.5115384798201373E-2</c:v>
                </c:pt>
              </c:numCache>
            </c:numRef>
          </c:val>
          <c:extLst>
            <c:ext xmlns:c16="http://schemas.microsoft.com/office/drawing/2014/chart" uri="{C3380CC4-5D6E-409C-BE32-E72D297353CC}">
              <c16:uniqueId val="{00000003-9C5D-41EF-9ABD-7111B2F50AF2}"/>
            </c:ext>
          </c:extLst>
        </c:ser>
        <c:dLbls>
          <c:showLegendKey val="0"/>
          <c:showVal val="0"/>
          <c:showCatName val="0"/>
          <c:showSerName val="0"/>
          <c:showPercent val="0"/>
          <c:showBubbleSize val="0"/>
        </c:dLbls>
        <c:gapWidth val="150"/>
        <c:overlap val="100"/>
        <c:axId val="433153824"/>
        <c:axId val="433154216"/>
      </c:barChart>
      <c:catAx>
        <c:axId val="4331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33154216"/>
        <c:crosses val="autoZero"/>
        <c:auto val="1"/>
        <c:lblAlgn val="ctr"/>
        <c:lblOffset val="100"/>
        <c:noMultiLvlLbl val="0"/>
      </c:catAx>
      <c:valAx>
        <c:axId val="4331542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33153824"/>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[Disability_analysis_21March2022_clean_pivots_v2_SB.xlsx]Sheet1!PivotTable17</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NZ"/>
              <a:t>Vaccination status by disability status and receipt of mains benefits - 12 years and older</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Sheet1!$B$80:$B$81</c:f>
              <c:strCache>
                <c:ptCount val="1"/>
                <c:pt idx="0">
                  <c:v>Three or more doses</c:v>
                </c:pt>
              </c:strCache>
            </c:strRef>
          </c:tx>
          <c:spPr>
            <a:solidFill>
              <a:srgbClr val="F7B735"/>
            </a:solidFill>
            <a:ln>
              <a:noFill/>
            </a:ln>
            <a:effectLst/>
          </c:spPr>
          <c:invertIfNegative val="0"/>
          <c:cat>
            <c:multiLvlStrRef>
              <c:f>Sheet1!$A$82:$A$88</c:f>
              <c:multiLvlStrCache>
                <c:ptCount val="4"/>
                <c:lvl>
                  <c:pt idx="0">
                    <c:v>Non-disabled</c:v>
                  </c:pt>
                  <c:pt idx="1">
                    <c:v>Disabled</c:v>
                  </c:pt>
                  <c:pt idx="2">
                    <c:v>Non-disabled</c:v>
                  </c:pt>
                  <c:pt idx="3">
                    <c:v>Disabled</c:v>
                  </c:pt>
                </c:lvl>
                <c:lvl>
                  <c:pt idx="0">
                    <c:v>Not a mains beneficiary (excl. super)</c:v>
                  </c:pt>
                  <c:pt idx="2">
                    <c:v>Mains beneficiary (excl. super)</c:v>
                  </c:pt>
                </c:lvl>
              </c:multiLvlStrCache>
            </c:multiLvlStrRef>
          </c:cat>
          <c:val>
            <c:numRef>
              <c:f>Sheet1!$B$82:$B$88</c:f>
              <c:numCache>
                <c:formatCode>0%</c:formatCode>
                <c:ptCount val="4"/>
                <c:pt idx="0">
                  <c:v>0.50965491217503822</c:v>
                </c:pt>
                <c:pt idx="1">
                  <c:v>0.69043063040921304</c:v>
                </c:pt>
                <c:pt idx="2">
                  <c:v>0.29744757302605085</c:v>
                </c:pt>
                <c:pt idx="3">
                  <c:v>0.48494331298414817</c:v>
                </c:pt>
              </c:numCache>
            </c:numRef>
          </c:val>
          <c:extLst>
            <c:ext xmlns:c16="http://schemas.microsoft.com/office/drawing/2014/chart" uri="{C3380CC4-5D6E-409C-BE32-E72D297353CC}">
              <c16:uniqueId val="{00000000-60A3-4F45-8155-6C07A5C0CE66}"/>
            </c:ext>
          </c:extLst>
        </c:ser>
        <c:ser>
          <c:idx val="1"/>
          <c:order val="1"/>
          <c:tx>
            <c:strRef>
              <c:f>Sheet1!$C$80:$C$81</c:f>
              <c:strCache>
                <c:ptCount val="1"/>
                <c:pt idx="0">
                  <c:v>Two doses</c:v>
                </c:pt>
              </c:strCache>
            </c:strRef>
          </c:tx>
          <c:spPr>
            <a:solidFill>
              <a:srgbClr val="26567F"/>
            </a:solidFill>
            <a:ln>
              <a:noFill/>
            </a:ln>
            <a:effectLst/>
          </c:spPr>
          <c:invertIfNegative val="0"/>
          <c:cat>
            <c:multiLvlStrRef>
              <c:f>Sheet1!$A$82:$A$88</c:f>
              <c:multiLvlStrCache>
                <c:ptCount val="4"/>
                <c:lvl>
                  <c:pt idx="0">
                    <c:v>Non-disabled</c:v>
                  </c:pt>
                  <c:pt idx="1">
                    <c:v>Disabled</c:v>
                  </c:pt>
                  <c:pt idx="2">
                    <c:v>Non-disabled</c:v>
                  </c:pt>
                  <c:pt idx="3">
                    <c:v>Disabled</c:v>
                  </c:pt>
                </c:lvl>
                <c:lvl>
                  <c:pt idx="0">
                    <c:v>Not a mains beneficiary (excl. super)</c:v>
                  </c:pt>
                  <c:pt idx="2">
                    <c:v>Mains beneficiary (excl. super)</c:v>
                  </c:pt>
                </c:lvl>
              </c:multiLvlStrCache>
            </c:multiLvlStrRef>
          </c:cat>
          <c:val>
            <c:numRef>
              <c:f>Sheet1!$C$82:$C$88</c:f>
              <c:numCache>
                <c:formatCode>0%</c:formatCode>
                <c:ptCount val="4"/>
                <c:pt idx="0">
                  <c:v>0.36443654014532556</c:v>
                </c:pt>
                <c:pt idx="1">
                  <c:v>0.23674724528787694</c:v>
                </c:pt>
                <c:pt idx="2">
                  <c:v>0.46148127497444474</c:v>
                </c:pt>
                <c:pt idx="3">
                  <c:v>0.36040287966620499</c:v>
                </c:pt>
              </c:numCache>
            </c:numRef>
          </c:val>
          <c:extLst>
            <c:ext xmlns:c16="http://schemas.microsoft.com/office/drawing/2014/chart" uri="{C3380CC4-5D6E-409C-BE32-E72D297353CC}">
              <c16:uniqueId val="{00000001-60A3-4F45-8155-6C07A5C0CE66}"/>
            </c:ext>
          </c:extLst>
        </c:ser>
        <c:ser>
          <c:idx val="2"/>
          <c:order val="2"/>
          <c:tx>
            <c:strRef>
              <c:f>Sheet1!$D$80:$D$81</c:f>
              <c:strCache>
                <c:ptCount val="1"/>
                <c:pt idx="0">
                  <c:v>One dose</c:v>
                </c:pt>
              </c:strCache>
            </c:strRef>
          </c:tx>
          <c:spPr>
            <a:solidFill>
              <a:srgbClr val="E8731B"/>
            </a:solidFill>
            <a:ln>
              <a:noFill/>
            </a:ln>
            <a:effectLst/>
          </c:spPr>
          <c:invertIfNegative val="0"/>
          <c:cat>
            <c:multiLvlStrRef>
              <c:f>Sheet1!$A$82:$A$88</c:f>
              <c:multiLvlStrCache>
                <c:ptCount val="4"/>
                <c:lvl>
                  <c:pt idx="0">
                    <c:v>Non-disabled</c:v>
                  </c:pt>
                  <c:pt idx="1">
                    <c:v>Disabled</c:v>
                  </c:pt>
                  <c:pt idx="2">
                    <c:v>Non-disabled</c:v>
                  </c:pt>
                  <c:pt idx="3">
                    <c:v>Disabled</c:v>
                  </c:pt>
                </c:lvl>
                <c:lvl>
                  <c:pt idx="0">
                    <c:v>Not a mains beneficiary (excl. super)</c:v>
                  </c:pt>
                  <c:pt idx="2">
                    <c:v>Mains beneficiary (excl. super)</c:v>
                  </c:pt>
                </c:lvl>
              </c:multiLvlStrCache>
            </c:multiLvlStrRef>
          </c:cat>
          <c:val>
            <c:numRef>
              <c:f>Sheet1!$D$82:$D$88</c:f>
              <c:numCache>
                <c:formatCode>0%</c:formatCode>
                <c:ptCount val="4"/>
                <c:pt idx="0">
                  <c:v>1.8556183064408475E-2</c:v>
                </c:pt>
                <c:pt idx="1">
                  <c:v>1.0430747444247435E-2</c:v>
                </c:pt>
                <c:pt idx="2">
                  <c:v>3.9509958801846171E-2</c:v>
                </c:pt>
                <c:pt idx="3">
                  <c:v>2.2520904940234957E-2</c:v>
                </c:pt>
              </c:numCache>
            </c:numRef>
          </c:val>
          <c:extLst>
            <c:ext xmlns:c16="http://schemas.microsoft.com/office/drawing/2014/chart" uri="{C3380CC4-5D6E-409C-BE32-E72D297353CC}">
              <c16:uniqueId val="{00000002-60A3-4F45-8155-6C07A5C0CE66}"/>
            </c:ext>
          </c:extLst>
        </c:ser>
        <c:ser>
          <c:idx val="3"/>
          <c:order val="3"/>
          <c:tx>
            <c:strRef>
              <c:f>Sheet1!$E$80:$E$81</c:f>
              <c:strCache>
                <c:ptCount val="1"/>
                <c:pt idx="0">
                  <c:v>No doses</c:v>
                </c:pt>
              </c:strCache>
            </c:strRef>
          </c:tx>
          <c:spPr>
            <a:solidFill>
              <a:srgbClr val="3A9CAE"/>
            </a:solidFill>
            <a:ln>
              <a:noFill/>
            </a:ln>
            <a:effectLst/>
          </c:spPr>
          <c:invertIfNegative val="0"/>
          <c:cat>
            <c:multiLvlStrRef>
              <c:f>Sheet1!$A$82:$A$88</c:f>
              <c:multiLvlStrCache>
                <c:ptCount val="4"/>
                <c:lvl>
                  <c:pt idx="0">
                    <c:v>Non-disabled</c:v>
                  </c:pt>
                  <c:pt idx="1">
                    <c:v>Disabled</c:v>
                  </c:pt>
                  <c:pt idx="2">
                    <c:v>Non-disabled</c:v>
                  </c:pt>
                  <c:pt idx="3">
                    <c:v>Disabled</c:v>
                  </c:pt>
                </c:lvl>
                <c:lvl>
                  <c:pt idx="0">
                    <c:v>Not a mains beneficiary (excl. super)</c:v>
                  </c:pt>
                  <c:pt idx="2">
                    <c:v>Mains beneficiary (excl. super)</c:v>
                  </c:pt>
                </c:lvl>
              </c:multiLvlStrCache>
            </c:multiLvlStrRef>
          </c:cat>
          <c:val>
            <c:numRef>
              <c:f>Sheet1!$E$82:$E$88</c:f>
              <c:numCache>
                <c:formatCode>0%</c:formatCode>
                <c:ptCount val="4"/>
                <c:pt idx="0">
                  <c:v>0.10735236461522776</c:v>
                </c:pt>
                <c:pt idx="1">
                  <c:v>6.2391376858662639E-2</c:v>
                </c:pt>
                <c:pt idx="2">
                  <c:v>0.20156119319765822</c:v>
                </c:pt>
                <c:pt idx="3">
                  <c:v>0.13213290240941192</c:v>
                </c:pt>
              </c:numCache>
            </c:numRef>
          </c:val>
          <c:extLst>
            <c:ext xmlns:c16="http://schemas.microsoft.com/office/drawing/2014/chart" uri="{C3380CC4-5D6E-409C-BE32-E72D297353CC}">
              <c16:uniqueId val="{00000003-60A3-4F45-8155-6C07A5C0CE66}"/>
            </c:ext>
          </c:extLst>
        </c:ser>
        <c:dLbls>
          <c:showLegendKey val="0"/>
          <c:showVal val="0"/>
          <c:showCatName val="0"/>
          <c:showSerName val="0"/>
          <c:showPercent val="0"/>
          <c:showBubbleSize val="0"/>
        </c:dLbls>
        <c:gapWidth val="150"/>
        <c:overlap val="100"/>
        <c:axId val="1009135288"/>
        <c:axId val="1009135680"/>
      </c:barChart>
      <c:catAx>
        <c:axId val="1009135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09135680"/>
        <c:crosses val="autoZero"/>
        <c:auto val="1"/>
        <c:lblAlgn val="ctr"/>
        <c:lblOffset val="100"/>
        <c:noMultiLvlLbl val="0"/>
      </c:catAx>
      <c:valAx>
        <c:axId val="100913568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a:t>Percentage of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09135288"/>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[Disability_analysis_21March2022_clean_pivots_v2_SB.xlsx]Sheet1!PivotTable23</c:name>
    <c:fmtId val="-1"/>
  </c:pivotSource>
  <c:chart>
    <c:title>
      <c:tx>
        <c:rich>
          <a:bodyPr rot="0" spcFirstLastPara="1" vertOverflow="ellipsis" vert="horz" wrap="square" anchor="ctr" anchorCtr="1"/>
          <a:lstStyle/>
          <a:p>
            <a:pPr algn="ctr" rtl="0">
              <a:defRPr sz="1200" b="0" i="0" u="none" strike="noStrike" kern="1200" spc="0" baseline="0">
                <a:solidFill>
                  <a:sysClr val="windowText" lastClr="000000"/>
                </a:solidFill>
                <a:latin typeface="+mn-lt"/>
                <a:ea typeface="+mn-ea"/>
                <a:cs typeface="+mn-cs"/>
              </a:defRPr>
            </a:pPr>
            <a:r>
              <a:rPr lang="en-NZ"/>
              <a:t>Vaccination status by disability status and receipt of Superannuation - 65 years and older</a:t>
            </a:r>
          </a:p>
        </c:rich>
      </c:tx>
      <c:overlay val="0"/>
      <c:spPr>
        <a:noFill/>
        <a:ln>
          <a:noFill/>
        </a:ln>
        <a:effectLst/>
      </c:spPr>
      <c:txPr>
        <a:bodyPr rot="0" spcFirstLastPara="1" vertOverflow="ellipsis" vert="horz" wrap="square" anchor="ctr" anchorCtr="1"/>
        <a:lstStyle/>
        <a:p>
          <a:pPr algn="ctr" rtl="0">
            <a:defRPr sz="12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Sheet1!$AF$46:$AF$47</c:f>
              <c:strCache>
                <c:ptCount val="1"/>
                <c:pt idx="0">
                  <c:v>Three or more doses</c:v>
                </c:pt>
              </c:strCache>
            </c:strRef>
          </c:tx>
          <c:spPr>
            <a:solidFill>
              <a:srgbClr val="F7B735"/>
            </a:solidFill>
            <a:ln>
              <a:noFill/>
            </a:ln>
            <a:effectLst/>
          </c:spPr>
          <c:invertIfNegative val="0"/>
          <c:cat>
            <c:multiLvlStrRef>
              <c:f>Sheet1!$AE$48:$AE$54</c:f>
              <c:multiLvlStrCache>
                <c:ptCount val="4"/>
                <c:lvl>
                  <c:pt idx="0">
                    <c:v>Non-disabled</c:v>
                  </c:pt>
                  <c:pt idx="1">
                    <c:v>Disabled</c:v>
                  </c:pt>
                  <c:pt idx="2">
                    <c:v>Non-disabled</c:v>
                  </c:pt>
                  <c:pt idx="3">
                    <c:v>Disabled</c:v>
                  </c:pt>
                </c:lvl>
                <c:lvl>
                  <c:pt idx="0">
                    <c:v>65+ year olds not receiving Super</c:v>
                  </c:pt>
                  <c:pt idx="2">
                    <c:v>65+ year olds Super recipients</c:v>
                  </c:pt>
                </c:lvl>
              </c:multiLvlStrCache>
            </c:multiLvlStrRef>
          </c:cat>
          <c:val>
            <c:numRef>
              <c:f>Sheet1!$AF$48:$AF$54</c:f>
              <c:numCache>
                <c:formatCode>0%</c:formatCode>
                <c:ptCount val="4"/>
                <c:pt idx="0">
                  <c:v>0.60576923076923073</c:v>
                </c:pt>
                <c:pt idx="1">
                  <c:v>0.79458874458874462</c:v>
                </c:pt>
                <c:pt idx="2">
                  <c:v>0.78195815272467151</c:v>
                </c:pt>
                <c:pt idx="3">
                  <c:v>0.85015045438737091</c:v>
                </c:pt>
              </c:numCache>
            </c:numRef>
          </c:val>
          <c:extLst>
            <c:ext xmlns:c16="http://schemas.microsoft.com/office/drawing/2014/chart" uri="{C3380CC4-5D6E-409C-BE32-E72D297353CC}">
              <c16:uniqueId val="{00000000-78C0-4444-B084-D669EC156FC0}"/>
            </c:ext>
          </c:extLst>
        </c:ser>
        <c:ser>
          <c:idx val="1"/>
          <c:order val="1"/>
          <c:tx>
            <c:strRef>
              <c:f>Sheet1!$AG$46:$AG$47</c:f>
              <c:strCache>
                <c:ptCount val="1"/>
                <c:pt idx="0">
                  <c:v>Two doses</c:v>
                </c:pt>
              </c:strCache>
            </c:strRef>
          </c:tx>
          <c:spPr>
            <a:solidFill>
              <a:srgbClr val="26567F"/>
            </a:solidFill>
            <a:ln>
              <a:noFill/>
            </a:ln>
            <a:effectLst/>
          </c:spPr>
          <c:invertIfNegative val="0"/>
          <c:cat>
            <c:multiLvlStrRef>
              <c:f>Sheet1!$AE$48:$AE$54</c:f>
              <c:multiLvlStrCache>
                <c:ptCount val="4"/>
                <c:lvl>
                  <c:pt idx="0">
                    <c:v>Non-disabled</c:v>
                  </c:pt>
                  <c:pt idx="1">
                    <c:v>Disabled</c:v>
                  </c:pt>
                  <c:pt idx="2">
                    <c:v>Non-disabled</c:v>
                  </c:pt>
                  <c:pt idx="3">
                    <c:v>Disabled</c:v>
                  </c:pt>
                </c:lvl>
                <c:lvl>
                  <c:pt idx="0">
                    <c:v>65+ year olds not receiving Super</c:v>
                  </c:pt>
                  <c:pt idx="2">
                    <c:v>65+ year olds Super recipients</c:v>
                  </c:pt>
                </c:lvl>
              </c:multiLvlStrCache>
            </c:multiLvlStrRef>
          </c:cat>
          <c:val>
            <c:numRef>
              <c:f>Sheet1!$AG$48:$AG$54</c:f>
              <c:numCache>
                <c:formatCode>0%</c:formatCode>
                <c:ptCount val="4"/>
                <c:pt idx="0">
                  <c:v>0.1377044900800557</c:v>
                </c:pt>
                <c:pt idx="1">
                  <c:v>0.13059163059163059</c:v>
                </c:pt>
                <c:pt idx="2">
                  <c:v>9.0771287693630937E-2</c:v>
                </c:pt>
                <c:pt idx="3">
                  <c:v>9.5118927010720819E-2</c:v>
                </c:pt>
              </c:numCache>
            </c:numRef>
          </c:val>
          <c:extLst>
            <c:ext xmlns:c16="http://schemas.microsoft.com/office/drawing/2014/chart" uri="{C3380CC4-5D6E-409C-BE32-E72D297353CC}">
              <c16:uniqueId val="{00000001-78C0-4444-B084-D669EC156FC0}"/>
            </c:ext>
          </c:extLst>
        </c:ser>
        <c:ser>
          <c:idx val="2"/>
          <c:order val="2"/>
          <c:tx>
            <c:strRef>
              <c:f>Sheet1!$AH$46:$AH$47</c:f>
              <c:strCache>
                <c:ptCount val="1"/>
                <c:pt idx="0">
                  <c:v>One dose</c:v>
                </c:pt>
              </c:strCache>
            </c:strRef>
          </c:tx>
          <c:spPr>
            <a:solidFill>
              <a:srgbClr val="E8731B"/>
            </a:solidFill>
            <a:ln>
              <a:noFill/>
            </a:ln>
            <a:effectLst/>
          </c:spPr>
          <c:invertIfNegative val="0"/>
          <c:cat>
            <c:multiLvlStrRef>
              <c:f>Sheet1!$AE$48:$AE$54</c:f>
              <c:multiLvlStrCache>
                <c:ptCount val="4"/>
                <c:lvl>
                  <c:pt idx="0">
                    <c:v>Non-disabled</c:v>
                  </c:pt>
                  <c:pt idx="1">
                    <c:v>Disabled</c:v>
                  </c:pt>
                  <c:pt idx="2">
                    <c:v>Non-disabled</c:v>
                  </c:pt>
                  <c:pt idx="3">
                    <c:v>Disabled</c:v>
                  </c:pt>
                </c:lvl>
                <c:lvl>
                  <c:pt idx="0">
                    <c:v>65+ year olds not receiving Super</c:v>
                  </c:pt>
                  <c:pt idx="2">
                    <c:v>65+ year olds Super recipients</c:v>
                  </c:pt>
                </c:lvl>
              </c:multiLvlStrCache>
            </c:multiLvlStrRef>
          </c:cat>
          <c:val>
            <c:numRef>
              <c:f>Sheet1!$AH$48:$AH$54</c:f>
              <c:numCache>
                <c:formatCode>0%</c:formatCode>
                <c:ptCount val="4"/>
                <c:pt idx="0">
                  <c:v>2.2276366167768884E-2</c:v>
                </c:pt>
                <c:pt idx="1">
                  <c:v>8.8023088023088027E-3</c:v>
                </c:pt>
                <c:pt idx="2">
                  <c:v>5.2458122918919835E-3</c:v>
                </c:pt>
                <c:pt idx="3">
                  <c:v>4.9143392859843042E-3</c:v>
                </c:pt>
              </c:numCache>
            </c:numRef>
          </c:val>
          <c:extLst>
            <c:ext xmlns:c16="http://schemas.microsoft.com/office/drawing/2014/chart" uri="{C3380CC4-5D6E-409C-BE32-E72D297353CC}">
              <c16:uniqueId val="{00000002-78C0-4444-B084-D669EC156FC0}"/>
            </c:ext>
          </c:extLst>
        </c:ser>
        <c:ser>
          <c:idx val="3"/>
          <c:order val="3"/>
          <c:tx>
            <c:strRef>
              <c:f>Sheet1!$AI$46:$AI$47</c:f>
              <c:strCache>
                <c:ptCount val="1"/>
                <c:pt idx="0">
                  <c:v>No doses</c:v>
                </c:pt>
              </c:strCache>
            </c:strRef>
          </c:tx>
          <c:spPr>
            <a:solidFill>
              <a:srgbClr val="3A9CAE"/>
            </a:solidFill>
            <a:ln>
              <a:noFill/>
            </a:ln>
            <a:effectLst/>
          </c:spPr>
          <c:invertIfNegative val="0"/>
          <c:cat>
            <c:multiLvlStrRef>
              <c:f>Sheet1!$AE$48:$AE$54</c:f>
              <c:multiLvlStrCache>
                <c:ptCount val="4"/>
                <c:lvl>
                  <c:pt idx="0">
                    <c:v>Non-disabled</c:v>
                  </c:pt>
                  <c:pt idx="1">
                    <c:v>Disabled</c:v>
                  </c:pt>
                  <c:pt idx="2">
                    <c:v>Non-disabled</c:v>
                  </c:pt>
                  <c:pt idx="3">
                    <c:v>Disabled</c:v>
                  </c:pt>
                </c:lvl>
                <c:lvl>
                  <c:pt idx="0">
                    <c:v>65+ year olds not receiving Super</c:v>
                  </c:pt>
                  <c:pt idx="2">
                    <c:v>65+ year olds Super recipients</c:v>
                  </c:pt>
                </c:lvl>
              </c:multiLvlStrCache>
            </c:multiLvlStrRef>
          </c:cat>
          <c:val>
            <c:numRef>
              <c:f>Sheet1!$AI$48:$AI$54</c:f>
              <c:numCache>
                <c:formatCode>0%</c:formatCode>
                <c:ptCount val="4"/>
                <c:pt idx="0">
                  <c:v>0.23424991298294465</c:v>
                </c:pt>
                <c:pt idx="1">
                  <c:v>6.6017316017316016E-2</c:v>
                </c:pt>
                <c:pt idx="2">
                  <c:v>0.12202474728980559</c:v>
                </c:pt>
                <c:pt idx="3">
                  <c:v>4.9816279315923973E-2</c:v>
                </c:pt>
              </c:numCache>
            </c:numRef>
          </c:val>
          <c:extLst>
            <c:ext xmlns:c16="http://schemas.microsoft.com/office/drawing/2014/chart" uri="{C3380CC4-5D6E-409C-BE32-E72D297353CC}">
              <c16:uniqueId val="{00000003-78C0-4444-B084-D669EC156FC0}"/>
            </c:ext>
          </c:extLst>
        </c:ser>
        <c:dLbls>
          <c:showLegendKey val="0"/>
          <c:showVal val="0"/>
          <c:showCatName val="0"/>
          <c:showSerName val="0"/>
          <c:showPercent val="0"/>
          <c:showBubbleSize val="0"/>
        </c:dLbls>
        <c:gapWidth val="150"/>
        <c:overlap val="100"/>
        <c:axId val="562680256"/>
        <c:axId val="1016264464"/>
      </c:barChart>
      <c:catAx>
        <c:axId val="56268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16264464"/>
        <c:crosses val="autoZero"/>
        <c:auto val="1"/>
        <c:lblAlgn val="ctr"/>
        <c:lblOffset val="100"/>
        <c:noMultiLvlLbl val="0"/>
      </c:catAx>
      <c:valAx>
        <c:axId val="101626446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a:t>Percentage of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626802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[Disability_analysis_21March2022_clean_pivots_v2_SB.xlsx]Sheet1!PivotTable12</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NZ"/>
              <a:t>Vaccination status by disability status and social housing tenancy - 12 years and older</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Sheet1!$K$107:$K$108</c:f>
              <c:strCache>
                <c:ptCount val="1"/>
                <c:pt idx="0">
                  <c:v>Three or more doses</c:v>
                </c:pt>
              </c:strCache>
            </c:strRef>
          </c:tx>
          <c:spPr>
            <a:solidFill>
              <a:srgbClr val="F7B735"/>
            </a:solidFill>
            <a:ln>
              <a:noFill/>
            </a:ln>
            <a:effectLst/>
          </c:spPr>
          <c:invertIfNegative val="0"/>
          <c:cat>
            <c:multiLvlStrRef>
              <c:f>Sheet1!$J$109:$J$115</c:f>
              <c:multiLvlStrCache>
                <c:ptCount val="4"/>
                <c:lvl>
                  <c:pt idx="0">
                    <c:v>Non-disabled</c:v>
                  </c:pt>
                  <c:pt idx="1">
                    <c:v>Disabled</c:v>
                  </c:pt>
                  <c:pt idx="2">
                    <c:v>Non-disabled</c:v>
                  </c:pt>
                  <c:pt idx="3">
                    <c:v>Disabled</c:v>
                  </c:pt>
                </c:lvl>
                <c:lvl>
                  <c:pt idx="0">
                    <c:v>Not a social housing tenant</c:v>
                  </c:pt>
                  <c:pt idx="2">
                    <c:v>Social housing tenant</c:v>
                  </c:pt>
                </c:lvl>
              </c:multiLvlStrCache>
            </c:multiLvlStrRef>
          </c:cat>
          <c:val>
            <c:numRef>
              <c:f>Sheet1!$K$109:$K$115</c:f>
              <c:numCache>
                <c:formatCode>0%</c:formatCode>
                <c:ptCount val="4"/>
                <c:pt idx="0">
                  <c:v>0.49142491654640325</c:v>
                </c:pt>
                <c:pt idx="1">
                  <c:v>0.66805528123992974</c:v>
                </c:pt>
                <c:pt idx="2">
                  <c:v>0.24618909715813259</c:v>
                </c:pt>
                <c:pt idx="3">
                  <c:v>0.46997220246945504</c:v>
                </c:pt>
              </c:numCache>
            </c:numRef>
          </c:val>
          <c:extLst>
            <c:ext xmlns:c16="http://schemas.microsoft.com/office/drawing/2014/chart" uri="{C3380CC4-5D6E-409C-BE32-E72D297353CC}">
              <c16:uniqueId val="{00000000-C77B-42BC-80D6-61F5BC334242}"/>
            </c:ext>
          </c:extLst>
        </c:ser>
        <c:ser>
          <c:idx val="1"/>
          <c:order val="1"/>
          <c:tx>
            <c:strRef>
              <c:f>Sheet1!$L$107:$L$108</c:f>
              <c:strCache>
                <c:ptCount val="1"/>
                <c:pt idx="0">
                  <c:v>Two doses</c:v>
                </c:pt>
              </c:strCache>
            </c:strRef>
          </c:tx>
          <c:spPr>
            <a:solidFill>
              <a:srgbClr val="26567F"/>
            </a:solidFill>
            <a:ln>
              <a:noFill/>
            </a:ln>
            <a:effectLst/>
          </c:spPr>
          <c:invertIfNegative val="0"/>
          <c:cat>
            <c:multiLvlStrRef>
              <c:f>Sheet1!$J$109:$J$115</c:f>
              <c:multiLvlStrCache>
                <c:ptCount val="4"/>
                <c:lvl>
                  <c:pt idx="0">
                    <c:v>Non-disabled</c:v>
                  </c:pt>
                  <c:pt idx="1">
                    <c:v>Disabled</c:v>
                  </c:pt>
                  <c:pt idx="2">
                    <c:v>Non-disabled</c:v>
                  </c:pt>
                  <c:pt idx="3">
                    <c:v>Disabled</c:v>
                  </c:pt>
                </c:lvl>
                <c:lvl>
                  <c:pt idx="0">
                    <c:v>Not a social housing tenant</c:v>
                  </c:pt>
                  <c:pt idx="2">
                    <c:v>Social housing tenant</c:v>
                  </c:pt>
                </c:lvl>
              </c:multiLvlStrCache>
            </c:multiLvlStrRef>
          </c:cat>
          <c:val>
            <c:numRef>
              <c:f>Sheet1!$L$109:$L$115</c:f>
              <c:numCache>
                <c:formatCode>0%</c:formatCode>
                <c:ptCount val="4"/>
                <c:pt idx="0">
                  <c:v>0.37118882532032643</c:v>
                </c:pt>
                <c:pt idx="1">
                  <c:v>0.24948024407738126</c:v>
                </c:pt>
                <c:pt idx="2">
                  <c:v>0.53785443783216114</c:v>
                </c:pt>
                <c:pt idx="3">
                  <c:v>0.38748464671278038</c:v>
                </c:pt>
              </c:numCache>
            </c:numRef>
          </c:val>
          <c:extLst>
            <c:ext xmlns:c16="http://schemas.microsoft.com/office/drawing/2014/chart" uri="{C3380CC4-5D6E-409C-BE32-E72D297353CC}">
              <c16:uniqueId val="{00000001-C77B-42BC-80D6-61F5BC334242}"/>
            </c:ext>
          </c:extLst>
        </c:ser>
        <c:ser>
          <c:idx val="2"/>
          <c:order val="2"/>
          <c:tx>
            <c:strRef>
              <c:f>Sheet1!$M$107:$M$108</c:f>
              <c:strCache>
                <c:ptCount val="1"/>
                <c:pt idx="0">
                  <c:v>One dose</c:v>
                </c:pt>
              </c:strCache>
            </c:strRef>
          </c:tx>
          <c:spPr>
            <a:solidFill>
              <a:srgbClr val="E8731B"/>
            </a:solidFill>
            <a:ln>
              <a:noFill/>
            </a:ln>
            <a:effectLst/>
          </c:spPr>
          <c:invertIfNegative val="0"/>
          <c:cat>
            <c:multiLvlStrRef>
              <c:f>Sheet1!$J$109:$J$115</c:f>
              <c:multiLvlStrCache>
                <c:ptCount val="4"/>
                <c:lvl>
                  <c:pt idx="0">
                    <c:v>Non-disabled</c:v>
                  </c:pt>
                  <c:pt idx="1">
                    <c:v>Disabled</c:v>
                  </c:pt>
                  <c:pt idx="2">
                    <c:v>Non-disabled</c:v>
                  </c:pt>
                  <c:pt idx="3">
                    <c:v>Disabled</c:v>
                  </c:pt>
                </c:lvl>
                <c:lvl>
                  <c:pt idx="0">
                    <c:v>Not a social housing tenant</c:v>
                  </c:pt>
                  <c:pt idx="2">
                    <c:v>Social housing tenant</c:v>
                  </c:pt>
                </c:lvl>
              </c:multiLvlStrCache>
            </c:multiLvlStrRef>
          </c:cat>
          <c:val>
            <c:numRef>
              <c:f>Sheet1!$M$109:$M$115</c:f>
              <c:numCache>
                <c:formatCode>0%</c:formatCode>
                <c:ptCount val="4"/>
                <c:pt idx="0">
                  <c:v>2.0423492449618049E-2</c:v>
                </c:pt>
                <c:pt idx="1">
                  <c:v>1.172309483466564E-2</c:v>
                </c:pt>
                <c:pt idx="2">
                  <c:v>4.2325685007796834E-2</c:v>
                </c:pt>
                <c:pt idx="3">
                  <c:v>2.4048096192384769E-2</c:v>
                </c:pt>
              </c:numCache>
            </c:numRef>
          </c:val>
          <c:extLst>
            <c:ext xmlns:c16="http://schemas.microsoft.com/office/drawing/2014/chart" uri="{C3380CC4-5D6E-409C-BE32-E72D297353CC}">
              <c16:uniqueId val="{00000002-C77B-42BC-80D6-61F5BC334242}"/>
            </c:ext>
          </c:extLst>
        </c:ser>
        <c:ser>
          <c:idx val="3"/>
          <c:order val="3"/>
          <c:tx>
            <c:strRef>
              <c:f>Sheet1!$N$107:$N$108</c:f>
              <c:strCache>
                <c:ptCount val="1"/>
                <c:pt idx="0">
                  <c:v>No doses</c:v>
                </c:pt>
              </c:strCache>
            </c:strRef>
          </c:tx>
          <c:spPr>
            <a:solidFill>
              <a:srgbClr val="3A9CAE"/>
            </a:solidFill>
            <a:ln>
              <a:noFill/>
            </a:ln>
            <a:effectLst/>
          </c:spPr>
          <c:invertIfNegative val="0"/>
          <c:cat>
            <c:multiLvlStrRef>
              <c:f>Sheet1!$J$109:$J$115</c:f>
              <c:multiLvlStrCache>
                <c:ptCount val="4"/>
                <c:lvl>
                  <c:pt idx="0">
                    <c:v>Non-disabled</c:v>
                  </c:pt>
                  <c:pt idx="1">
                    <c:v>Disabled</c:v>
                  </c:pt>
                  <c:pt idx="2">
                    <c:v>Non-disabled</c:v>
                  </c:pt>
                  <c:pt idx="3">
                    <c:v>Disabled</c:v>
                  </c:pt>
                </c:lvl>
                <c:lvl>
                  <c:pt idx="0">
                    <c:v>Not a social housing tenant</c:v>
                  </c:pt>
                  <c:pt idx="2">
                    <c:v>Social housing tenant</c:v>
                  </c:pt>
                </c:lvl>
              </c:multiLvlStrCache>
            </c:multiLvlStrRef>
          </c:cat>
          <c:val>
            <c:numRef>
              <c:f>Sheet1!$N$109:$N$115</c:f>
              <c:numCache>
                <c:formatCode>0%</c:formatCode>
                <c:ptCount val="4"/>
                <c:pt idx="0">
                  <c:v>0.11696276568365224</c:v>
                </c:pt>
                <c:pt idx="1">
                  <c:v>7.0741379848023367E-2</c:v>
                </c:pt>
                <c:pt idx="2">
                  <c:v>0.17363078000190943</c:v>
                </c:pt>
                <c:pt idx="3">
                  <c:v>0.11849505462537979</c:v>
                </c:pt>
              </c:numCache>
            </c:numRef>
          </c:val>
          <c:extLst>
            <c:ext xmlns:c16="http://schemas.microsoft.com/office/drawing/2014/chart" uri="{C3380CC4-5D6E-409C-BE32-E72D297353CC}">
              <c16:uniqueId val="{00000003-C77B-42BC-80D6-61F5BC334242}"/>
            </c:ext>
          </c:extLst>
        </c:ser>
        <c:dLbls>
          <c:showLegendKey val="0"/>
          <c:showVal val="0"/>
          <c:showCatName val="0"/>
          <c:showSerName val="0"/>
          <c:showPercent val="0"/>
          <c:showBubbleSize val="0"/>
        </c:dLbls>
        <c:gapWidth val="150"/>
        <c:overlap val="100"/>
        <c:axId val="1016267600"/>
        <c:axId val="1016266032"/>
      </c:barChart>
      <c:catAx>
        <c:axId val="101626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16266032"/>
        <c:crosses val="autoZero"/>
        <c:auto val="1"/>
        <c:lblAlgn val="ctr"/>
        <c:lblOffset val="100"/>
        <c:noMultiLvlLbl val="0"/>
      </c:catAx>
      <c:valAx>
        <c:axId val="101626603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a:t>Percentage of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16267600"/>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[Disability_analysis_21March2022_clean_pivots_v2_SB.xlsx]Sheet1!PivotTable11</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NZ"/>
              <a:t>Vaccination status by disability status and community housing residency - 12 years and older</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Sheet1!$S$37:$S$38</c:f>
              <c:strCache>
                <c:ptCount val="1"/>
                <c:pt idx="0">
                  <c:v>Three or more doses</c:v>
                </c:pt>
              </c:strCache>
            </c:strRef>
          </c:tx>
          <c:spPr>
            <a:solidFill>
              <a:srgbClr val="F7B735"/>
            </a:solidFill>
            <a:ln>
              <a:noFill/>
            </a:ln>
            <a:effectLst/>
          </c:spPr>
          <c:invertIfNegative val="0"/>
          <c:cat>
            <c:multiLvlStrRef>
              <c:f>Sheet1!$R$39:$R$45</c:f>
              <c:multiLvlStrCache>
                <c:ptCount val="4"/>
                <c:lvl>
                  <c:pt idx="0">
                    <c:v>Non-disabled</c:v>
                  </c:pt>
                  <c:pt idx="1">
                    <c:v>Disabled</c:v>
                  </c:pt>
                  <c:pt idx="2">
                    <c:v>Non-disabled</c:v>
                  </c:pt>
                  <c:pt idx="3">
                    <c:v>Disabled</c:v>
                  </c:pt>
                </c:lvl>
                <c:lvl>
                  <c:pt idx="0">
                    <c:v>Non-ChiPs resident</c:v>
                  </c:pt>
                  <c:pt idx="2">
                    <c:v>CHiPs resident</c:v>
                  </c:pt>
                </c:lvl>
              </c:multiLvlStrCache>
            </c:multiLvlStrRef>
          </c:cat>
          <c:val>
            <c:numRef>
              <c:f>Sheet1!$S$39:$S$45</c:f>
              <c:numCache>
                <c:formatCode>0%</c:formatCode>
                <c:ptCount val="4"/>
                <c:pt idx="0">
                  <c:v>0.48712747815064317</c:v>
                </c:pt>
                <c:pt idx="1">
                  <c:v>0.66029346933050115</c:v>
                </c:pt>
                <c:pt idx="2">
                  <c:v>0.15422236713400717</c:v>
                </c:pt>
                <c:pt idx="3">
                  <c:v>0.70463320463320467</c:v>
                </c:pt>
              </c:numCache>
            </c:numRef>
          </c:val>
          <c:extLst>
            <c:ext xmlns:c16="http://schemas.microsoft.com/office/drawing/2014/chart" uri="{C3380CC4-5D6E-409C-BE32-E72D297353CC}">
              <c16:uniqueId val="{00000000-5368-40B3-BD26-7FD1CEDCA692}"/>
            </c:ext>
          </c:extLst>
        </c:ser>
        <c:ser>
          <c:idx val="1"/>
          <c:order val="1"/>
          <c:tx>
            <c:strRef>
              <c:f>Sheet1!$T$37:$T$38</c:f>
              <c:strCache>
                <c:ptCount val="1"/>
                <c:pt idx="0">
                  <c:v>Two doses</c:v>
                </c:pt>
              </c:strCache>
            </c:strRef>
          </c:tx>
          <c:spPr>
            <a:solidFill>
              <a:srgbClr val="26567F"/>
            </a:solidFill>
            <a:ln>
              <a:noFill/>
            </a:ln>
            <a:effectLst/>
          </c:spPr>
          <c:invertIfNegative val="0"/>
          <c:cat>
            <c:multiLvlStrRef>
              <c:f>Sheet1!$R$39:$R$45</c:f>
              <c:multiLvlStrCache>
                <c:ptCount val="4"/>
                <c:lvl>
                  <c:pt idx="0">
                    <c:v>Non-disabled</c:v>
                  </c:pt>
                  <c:pt idx="1">
                    <c:v>Disabled</c:v>
                  </c:pt>
                  <c:pt idx="2">
                    <c:v>Non-disabled</c:v>
                  </c:pt>
                  <c:pt idx="3">
                    <c:v>Disabled</c:v>
                  </c:pt>
                </c:lvl>
                <c:lvl>
                  <c:pt idx="0">
                    <c:v>Non-ChiPs resident</c:v>
                  </c:pt>
                  <c:pt idx="2">
                    <c:v>CHiPs resident</c:v>
                  </c:pt>
                </c:lvl>
              </c:multiLvlStrCache>
            </c:multiLvlStrRef>
          </c:cat>
          <c:val>
            <c:numRef>
              <c:f>Sheet1!$T$39:$T$45</c:f>
              <c:numCache>
                <c:formatCode>0%</c:formatCode>
                <c:ptCount val="4"/>
                <c:pt idx="0">
                  <c:v>0.37774581284834591</c:v>
                </c:pt>
                <c:pt idx="1">
                  <c:v>0.25491453419634091</c:v>
                </c:pt>
                <c:pt idx="2">
                  <c:v>0.17693728942506248</c:v>
                </c:pt>
                <c:pt idx="3">
                  <c:v>0.21621621621621623</c:v>
                </c:pt>
              </c:numCache>
            </c:numRef>
          </c:val>
          <c:extLst>
            <c:ext xmlns:c16="http://schemas.microsoft.com/office/drawing/2014/chart" uri="{C3380CC4-5D6E-409C-BE32-E72D297353CC}">
              <c16:uniqueId val="{00000001-5368-40B3-BD26-7FD1CEDCA692}"/>
            </c:ext>
          </c:extLst>
        </c:ser>
        <c:ser>
          <c:idx val="2"/>
          <c:order val="2"/>
          <c:tx>
            <c:strRef>
              <c:f>Sheet1!$U$37:$U$38</c:f>
              <c:strCache>
                <c:ptCount val="1"/>
                <c:pt idx="0">
                  <c:v>One dose</c:v>
                </c:pt>
              </c:strCache>
            </c:strRef>
          </c:tx>
          <c:spPr>
            <a:solidFill>
              <a:srgbClr val="E8731B"/>
            </a:solidFill>
            <a:ln>
              <a:noFill/>
            </a:ln>
            <a:effectLst/>
          </c:spPr>
          <c:invertIfNegative val="0"/>
          <c:cat>
            <c:multiLvlStrRef>
              <c:f>Sheet1!$R$39:$R$45</c:f>
              <c:multiLvlStrCache>
                <c:ptCount val="4"/>
                <c:lvl>
                  <c:pt idx="0">
                    <c:v>Non-disabled</c:v>
                  </c:pt>
                  <c:pt idx="1">
                    <c:v>Disabled</c:v>
                  </c:pt>
                  <c:pt idx="2">
                    <c:v>Non-disabled</c:v>
                  </c:pt>
                  <c:pt idx="3">
                    <c:v>Disabled</c:v>
                  </c:pt>
                </c:lvl>
                <c:lvl>
                  <c:pt idx="0">
                    <c:v>Non-ChiPs resident</c:v>
                  </c:pt>
                  <c:pt idx="2">
                    <c:v>CHiPs resident</c:v>
                  </c:pt>
                </c:lvl>
              </c:multiLvlStrCache>
            </c:multiLvlStrRef>
          </c:cat>
          <c:val>
            <c:numRef>
              <c:f>Sheet1!$U$39:$U$45</c:f>
              <c:numCache>
                <c:formatCode>0%</c:formatCode>
                <c:ptCount val="4"/>
                <c:pt idx="0">
                  <c:v>2.079971026208027E-2</c:v>
                </c:pt>
                <c:pt idx="1">
                  <c:v>1.2208684848606296E-2</c:v>
                </c:pt>
                <c:pt idx="2">
                  <c:v>5.1407455711335724E-2</c:v>
                </c:pt>
                <c:pt idx="3">
                  <c:v>5.7915057915057912E-3</c:v>
                </c:pt>
              </c:numCache>
            </c:numRef>
          </c:val>
          <c:extLst>
            <c:ext xmlns:c16="http://schemas.microsoft.com/office/drawing/2014/chart" uri="{C3380CC4-5D6E-409C-BE32-E72D297353CC}">
              <c16:uniqueId val="{00000002-5368-40B3-BD26-7FD1CEDCA692}"/>
            </c:ext>
          </c:extLst>
        </c:ser>
        <c:ser>
          <c:idx val="3"/>
          <c:order val="3"/>
          <c:tx>
            <c:strRef>
              <c:f>Sheet1!$V$37:$V$38</c:f>
              <c:strCache>
                <c:ptCount val="1"/>
                <c:pt idx="0">
                  <c:v>No doses</c:v>
                </c:pt>
              </c:strCache>
            </c:strRef>
          </c:tx>
          <c:spPr>
            <a:solidFill>
              <a:srgbClr val="3A9CAE"/>
            </a:solidFill>
            <a:ln>
              <a:noFill/>
            </a:ln>
            <a:effectLst/>
          </c:spPr>
          <c:invertIfNegative val="0"/>
          <c:cat>
            <c:multiLvlStrRef>
              <c:f>Sheet1!$R$39:$R$45</c:f>
              <c:multiLvlStrCache>
                <c:ptCount val="4"/>
                <c:lvl>
                  <c:pt idx="0">
                    <c:v>Non-disabled</c:v>
                  </c:pt>
                  <c:pt idx="1">
                    <c:v>Disabled</c:v>
                  </c:pt>
                  <c:pt idx="2">
                    <c:v>Non-disabled</c:v>
                  </c:pt>
                  <c:pt idx="3">
                    <c:v>Disabled</c:v>
                  </c:pt>
                </c:lvl>
                <c:lvl>
                  <c:pt idx="0">
                    <c:v>Non-ChiPs resident</c:v>
                  </c:pt>
                  <c:pt idx="2">
                    <c:v>CHiPs resident</c:v>
                  </c:pt>
                </c:lvl>
              </c:multiLvlStrCache>
            </c:multiLvlStrRef>
          </c:cat>
          <c:val>
            <c:numRef>
              <c:f>Sheet1!$V$39:$V$45</c:f>
              <c:numCache>
                <c:formatCode>0%</c:formatCode>
                <c:ptCount val="4"/>
                <c:pt idx="0">
                  <c:v>0.11432699873893064</c:v>
                </c:pt>
                <c:pt idx="1">
                  <c:v>7.258331162455163E-2</c:v>
                </c:pt>
                <c:pt idx="2">
                  <c:v>0.61743288772959459</c:v>
                </c:pt>
                <c:pt idx="3">
                  <c:v>7.3359073359073365E-2</c:v>
                </c:pt>
              </c:numCache>
            </c:numRef>
          </c:val>
          <c:extLst>
            <c:ext xmlns:c16="http://schemas.microsoft.com/office/drawing/2014/chart" uri="{C3380CC4-5D6E-409C-BE32-E72D297353CC}">
              <c16:uniqueId val="{00000003-5368-40B3-BD26-7FD1CEDCA692}"/>
            </c:ext>
          </c:extLst>
        </c:ser>
        <c:dLbls>
          <c:showLegendKey val="0"/>
          <c:showVal val="0"/>
          <c:showCatName val="0"/>
          <c:showSerName val="0"/>
          <c:showPercent val="0"/>
          <c:showBubbleSize val="0"/>
        </c:dLbls>
        <c:gapWidth val="150"/>
        <c:overlap val="100"/>
        <c:axId val="1016267992"/>
        <c:axId val="1016269168"/>
      </c:barChart>
      <c:catAx>
        <c:axId val="1016267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16269168"/>
        <c:crosses val="autoZero"/>
        <c:auto val="1"/>
        <c:lblAlgn val="ctr"/>
        <c:lblOffset val="100"/>
        <c:noMultiLvlLbl val="0"/>
      </c:catAx>
      <c:valAx>
        <c:axId val="101626916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a:t>Percentage of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16267992"/>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[Disability_analysis_21March2022_clean_pivots_v2_SB.xlsx]Sheet1!PivotTable18</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NZ"/>
              <a:t>Vaccination status by disability status and NZ Deprivation Index deciles - 12 years and older</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Sheet1!$K$5:$K$6</c:f>
              <c:strCache>
                <c:ptCount val="1"/>
                <c:pt idx="0">
                  <c:v>Three or more doses</c:v>
                </c:pt>
              </c:strCache>
            </c:strRef>
          </c:tx>
          <c:spPr>
            <a:solidFill>
              <a:srgbClr val="F7B735"/>
            </a:solidFill>
            <a:ln>
              <a:noFill/>
            </a:ln>
            <a:effectLst/>
          </c:spPr>
          <c:invertIfNegative val="0"/>
          <c:cat>
            <c:multiLvlStrRef>
              <c:f>Sheet1!$J$7:$J$29</c:f>
              <c:multiLvlStrCache>
                <c:ptCount val="20"/>
                <c:lvl>
                  <c:pt idx="0">
                    <c:v>1</c:v>
                  </c:pt>
                  <c:pt idx="1">
                    <c:v>2</c:v>
                  </c:pt>
                  <c:pt idx="2">
                    <c:v>3</c:v>
                  </c:pt>
                  <c:pt idx="3">
                    <c:v>4</c:v>
                  </c:pt>
                  <c:pt idx="4">
                    <c:v>5</c:v>
                  </c:pt>
                  <c:pt idx="5">
                    <c:v>6</c:v>
                  </c:pt>
                  <c:pt idx="6">
                    <c:v>7</c:v>
                  </c:pt>
                  <c:pt idx="7">
                    <c:v>8</c:v>
                  </c:pt>
                  <c:pt idx="8">
                    <c:v>9</c:v>
                  </c:pt>
                  <c:pt idx="9">
                    <c:v>10</c:v>
                  </c:pt>
                  <c:pt idx="10">
                    <c:v>1</c:v>
                  </c:pt>
                  <c:pt idx="11">
                    <c:v>2</c:v>
                  </c:pt>
                  <c:pt idx="12">
                    <c:v>3</c:v>
                  </c:pt>
                  <c:pt idx="13">
                    <c:v>4</c:v>
                  </c:pt>
                  <c:pt idx="14">
                    <c:v>5</c:v>
                  </c:pt>
                  <c:pt idx="15">
                    <c:v>6</c:v>
                  </c:pt>
                  <c:pt idx="16">
                    <c:v>7</c:v>
                  </c:pt>
                  <c:pt idx="17">
                    <c:v>8</c:v>
                  </c:pt>
                  <c:pt idx="18">
                    <c:v>9</c:v>
                  </c:pt>
                  <c:pt idx="19">
                    <c:v>10</c:v>
                  </c:pt>
                </c:lvl>
                <c:lvl>
                  <c:pt idx="0">
                    <c:v>Non-disabled</c:v>
                  </c:pt>
                  <c:pt idx="10">
                    <c:v>Disabled</c:v>
                  </c:pt>
                </c:lvl>
              </c:multiLvlStrCache>
            </c:multiLvlStrRef>
          </c:cat>
          <c:val>
            <c:numRef>
              <c:f>Sheet1!$K$7:$K$29</c:f>
              <c:numCache>
                <c:formatCode>0%</c:formatCode>
                <c:ptCount val="20"/>
                <c:pt idx="0">
                  <c:v>0.59201617788547201</c:v>
                </c:pt>
                <c:pt idx="1">
                  <c:v>0.56293221413024508</c:v>
                </c:pt>
                <c:pt idx="2">
                  <c:v>0.54279325830029501</c:v>
                </c:pt>
                <c:pt idx="3">
                  <c:v>0.52603260009495179</c:v>
                </c:pt>
                <c:pt idx="4">
                  <c:v>0.50974702030432939</c:v>
                </c:pt>
                <c:pt idx="5">
                  <c:v>0.48824967099078775</c:v>
                </c:pt>
                <c:pt idx="6">
                  <c:v>0.46883125478664561</c:v>
                </c:pt>
                <c:pt idx="7">
                  <c:v>0.45078316663521417</c:v>
                </c:pt>
                <c:pt idx="8">
                  <c:v>0.40708098212769167</c:v>
                </c:pt>
                <c:pt idx="9">
                  <c:v>0.31569103827641531</c:v>
                </c:pt>
                <c:pt idx="10">
                  <c:v>0.73521663583879826</c:v>
                </c:pt>
                <c:pt idx="11">
                  <c:v>0.71466083150984683</c:v>
                </c:pt>
                <c:pt idx="12">
                  <c:v>0.70697493180932591</c:v>
                </c:pt>
                <c:pt idx="13">
                  <c:v>0.69090095779391647</c:v>
                </c:pt>
                <c:pt idx="14">
                  <c:v>0.68206351198694615</c:v>
                </c:pt>
                <c:pt idx="15">
                  <c:v>0.66463995311698776</c:v>
                </c:pt>
                <c:pt idx="16">
                  <c:v>0.65270315248918265</c:v>
                </c:pt>
                <c:pt idx="17">
                  <c:v>0.64129591603924252</c:v>
                </c:pt>
                <c:pt idx="18">
                  <c:v>0.60417479964176635</c:v>
                </c:pt>
                <c:pt idx="19">
                  <c:v>0.53832710325743971</c:v>
                </c:pt>
              </c:numCache>
            </c:numRef>
          </c:val>
          <c:extLst>
            <c:ext xmlns:c16="http://schemas.microsoft.com/office/drawing/2014/chart" uri="{C3380CC4-5D6E-409C-BE32-E72D297353CC}">
              <c16:uniqueId val="{00000000-FB92-4E7E-A1C0-1E292F2B7329}"/>
            </c:ext>
          </c:extLst>
        </c:ser>
        <c:ser>
          <c:idx val="1"/>
          <c:order val="1"/>
          <c:tx>
            <c:strRef>
              <c:f>Sheet1!$L$5:$L$6</c:f>
              <c:strCache>
                <c:ptCount val="1"/>
                <c:pt idx="0">
                  <c:v>Two doses</c:v>
                </c:pt>
              </c:strCache>
            </c:strRef>
          </c:tx>
          <c:spPr>
            <a:solidFill>
              <a:srgbClr val="26567F"/>
            </a:solidFill>
            <a:ln>
              <a:noFill/>
            </a:ln>
            <a:effectLst/>
          </c:spPr>
          <c:invertIfNegative val="0"/>
          <c:cat>
            <c:multiLvlStrRef>
              <c:f>Sheet1!$J$7:$J$29</c:f>
              <c:multiLvlStrCache>
                <c:ptCount val="20"/>
                <c:lvl>
                  <c:pt idx="0">
                    <c:v>1</c:v>
                  </c:pt>
                  <c:pt idx="1">
                    <c:v>2</c:v>
                  </c:pt>
                  <c:pt idx="2">
                    <c:v>3</c:v>
                  </c:pt>
                  <c:pt idx="3">
                    <c:v>4</c:v>
                  </c:pt>
                  <c:pt idx="4">
                    <c:v>5</c:v>
                  </c:pt>
                  <c:pt idx="5">
                    <c:v>6</c:v>
                  </c:pt>
                  <c:pt idx="6">
                    <c:v>7</c:v>
                  </c:pt>
                  <c:pt idx="7">
                    <c:v>8</c:v>
                  </c:pt>
                  <c:pt idx="8">
                    <c:v>9</c:v>
                  </c:pt>
                  <c:pt idx="9">
                    <c:v>10</c:v>
                  </c:pt>
                  <c:pt idx="10">
                    <c:v>1</c:v>
                  </c:pt>
                  <c:pt idx="11">
                    <c:v>2</c:v>
                  </c:pt>
                  <c:pt idx="12">
                    <c:v>3</c:v>
                  </c:pt>
                  <c:pt idx="13">
                    <c:v>4</c:v>
                  </c:pt>
                  <c:pt idx="14">
                    <c:v>5</c:v>
                  </c:pt>
                  <c:pt idx="15">
                    <c:v>6</c:v>
                  </c:pt>
                  <c:pt idx="16">
                    <c:v>7</c:v>
                  </c:pt>
                  <c:pt idx="17">
                    <c:v>8</c:v>
                  </c:pt>
                  <c:pt idx="18">
                    <c:v>9</c:v>
                  </c:pt>
                  <c:pt idx="19">
                    <c:v>10</c:v>
                  </c:pt>
                </c:lvl>
                <c:lvl>
                  <c:pt idx="0">
                    <c:v>Non-disabled</c:v>
                  </c:pt>
                  <c:pt idx="10">
                    <c:v>Disabled</c:v>
                  </c:pt>
                </c:lvl>
              </c:multiLvlStrCache>
            </c:multiLvlStrRef>
          </c:cat>
          <c:val>
            <c:numRef>
              <c:f>Sheet1!$L$7:$L$29</c:f>
              <c:numCache>
                <c:formatCode>0%</c:formatCode>
                <c:ptCount val="20"/>
                <c:pt idx="0">
                  <c:v>0.31473826746962191</c:v>
                </c:pt>
                <c:pt idx="1">
                  <c:v>0.33030572979327194</c:v>
                </c:pt>
                <c:pt idx="2">
                  <c:v>0.34231788203904473</c:v>
                </c:pt>
                <c:pt idx="3">
                  <c:v>0.3538720758124424</c:v>
                </c:pt>
                <c:pt idx="4">
                  <c:v>0.36328261176803128</c:v>
                </c:pt>
                <c:pt idx="5">
                  <c:v>0.37740176724948299</c:v>
                </c:pt>
                <c:pt idx="6">
                  <c:v>0.38976768813290091</c:v>
                </c:pt>
                <c:pt idx="7">
                  <c:v>0.40177391960747311</c:v>
                </c:pt>
                <c:pt idx="8">
                  <c:v>0.42909581595485685</c:v>
                </c:pt>
                <c:pt idx="9">
                  <c:v>0.47927572771029109</c:v>
                </c:pt>
                <c:pt idx="10">
                  <c:v>0.20576200885600582</c:v>
                </c:pt>
                <c:pt idx="11">
                  <c:v>0.21898249452954049</c:v>
                </c:pt>
                <c:pt idx="12">
                  <c:v>0.22200285751396284</c:v>
                </c:pt>
                <c:pt idx="13">
                  <c:v>0.23544890011577729</c:v>
                </c:pt>
                <c:pt idx="14">
                  <c:v>0.23883519518011798</c:v>
                </c:pt>
                <c:pt idx="15">
                  <c:v>0.25101946133372405</c:v>
                </c:pt>
                <c:pt idx="16">
                  <c:v>0.25754838096143789</c:v>
                </c:pt>
                <c:pt idx="17">
                  <c:v>0.2672826830937714</c:v>
                </c:pt>
                <c:pt idx="18">
                  <c:v>0.29347601442120008</c:v>
                </c:pt>
                <c:pt idx="19">
                  <c:v>0.33987086751784068</c:v>
                </c:pt>
              </c:numCache>
            </c:numRef>
          </c:val>
          <c:extLst>
            <c:ext xmlns:c16="http://schemas.microsoft.com/office/drawing/2014/chart" uri="{C3380CC4-5D6E-409C-BE32-E72D297353CC}">
              <c16:uniqueId val="{00000001-FB92-4E7E-A1C0-1E292F2B7329}"/>
            </c:ext>
          </c:extLst>
        </c:ser>
        <c:ser>
          <c:idx val="2"/>
          <c:order val="2"/>
          <c:tx>
            <c:strRef>
              <c:f>Sheet1!$M$5:$M$6</c:f>
              <c:strCache>
                <c:ptCount val="1"/>
                <c:pt idx="0">
                  <c:v>One dose</c:v>
                </c:pt>
              </c:strCache>
            </c:strRef>
          </c:tx>
          <c:spPr>
            <a:solidFill>
              <a:srgbClr val="E8731B"/>
            </a:solidFill>
            <a:ln>
              <a:noFill/>
            </a:ln>
            <a:effectLst/>
          </c:spPr>
          <c:invertIfNegative val="0"/>
          <c:cat>
            <c:multiLvlStrRef>
              <c:f>Sheet1!$J$7:$J$29</c:f>
              <c:multiLvlStrCache>
                <c:ptCount val="20"/>
                <c:lvl>
                  <c:pt idx="0">
                    <c:v>1</c:v>
                  </c:pt>
                  <c:pt idx="1">
                    <c:v>2</c:v>
                  </c:pt>
                  <c:pt idx="2">
                    <c:v>3</c:v>
                  </c:pt>
                  <c:pt idx="3">
                    <c:v>4</c:v>
                  </c:pt>
                  <c:pt idx="4">
                    <c:v>5</c:v>
                  </c:pt>
                  <c:pt idx="5">
                    <c:v>6</c:v>
                  </c:pt>
                  <c:pt idx="6">
                    <c:v>7</c:v>
                  </c:pt>
                  <c:pt idx="7">
                    <c:v>8</c:v>
                  </c:pt>
                  <c:pt idx="8">
                    <c:v>9</c:v>
                  </c:pt>
                  <c:pt idx="9">
                    <c:v>10</c:v>
                  </c:pt>
                  <c:pt idx="10">
                    <c:v>1</c:v>
                  </c:pt>
                  <c:pt idx="11">
                    <c:v>2</c:v>
                  </c:pt>
                  <c:pt idx="12">
                    <c:v>3</c:v>
                  </c:pt>
                  <c:pt idx="13">
                    <c:v>4</c:v>
                  </c:pt>
                  <c:pt idx="14">
                    <c:v>5</c:v>
                  </c:pt>
                  <c:pt idx="15">
                    <c:v>6</c:v>
                  </c:pt>
                  <c:pt idx="16">
                    <c:v>7</c:v>
                  </c:pt>
                  <c:pt idx="17">
                    <c:v>8</c:v>
                  </c:pt>
                  <c:pt idx="18">
                    <c:v>9</c:v>
                  </c:pt>
                  <c:pt idx="19">
                    <c:v>10</c:v>
                  </c:pt>
                </c:lvl>
                <c:lvl>
                  <c:pt idx="0">
                    <c:v>Non-disabled</c:v>
                  </c:pt>
                  <c:pt idx="10">
                    <c:v>Disabled</c:v>
                  </c:pt>
                </c:lvl>
              </c:multiLvlStrCache>
            </c:multiLvlStrRef>
          </c:cat>
          <c:val>
            <c:numRef>
              <c:f>Sheet1!$M$7:$M$29</c:f>
              <c:numCache>
                <c:formatCode>0%</c:formatCode>
                <c:ptCount val="20"/>
                <c:pt idx="0">
                  <c:v>1.5892812600220931E-2</c:v>
                </c:pt>
                <c:pt idx="1">
                  <c:v>1.6861516985498728E-2</c:v>
                </c:pt>
                <c:pt idx="2">
                  <c:v>1.7662201010879165E-2</c:v>
                </c:pt>
                <c:pt idx="3">
                  <c:v>1.8543514889734974E-2</c:v>
                </c:pt>
                <c:pt idx="4">
                  <c:v>1.8589532199557168E-2</c:v>
                </c:pt>
                <c:pt idx="5">
                  <c:v>1.9712351945854484E-2</c:v>
                </c:pt>
                <c:pt idx="6">
                  <c:v>2.0356835566313361E-2</c:v>
                </c:pt>
                <c:pt idx="7">
                  <c:v>2.1815436874882053E-2</c:v>
                </c:pt>
                <c:pt idx="8">
                  <c:v>2.5449638590597692E-2</c:v>
                </c:pt>
                <c:pt idx="9">
                  <c:v>3.5406830162732064E-2</c:v>
                </c:pt>
                <c:pt idx="10">
                  <c:v>9.1082338433944292E-3</c:v>
                </c:pt>
                <c:pt idx="11">
                  <c:v>9.5185995623632384E-3</c:v>
                </c:pt>
                <c:pt idx="12">
                  <c:v>1.0001298869983116E-2</c:v>
                </c:pt>
                <c:pt idx="13">
                  <c:v>1.089359014840543E-2</c:v>
                </c:pt>
                <c:pt idx="14">
                  <c:v>1.0719216769172838E-2</c:v>
                </c:pt>
                <c:pt idx="15">
                  <c:v>1.1330061289771201E-2</c:v>
                </c:pt>
                <c:pt idx="16">
                  <c:v>1.2291379392325615E-2</c:v>
                </c:pt>
                <c:pt idx="17">
                  <c:v>1.2799452429842574E-2</c:v>
                </c:pt>
                <c:pt idx="18">
                  <c:v>1.4811582887454934E-2</c:v>
                </c:pt>
                <c:pt idx="19">
                  <c:v>1.934559930093694E-2</c:v>
                </c:pt>
              </c:numCache>
            </c:numRef>
          </c:val>
          <c:extLst>
            <c:ext xmlns:c16="http://schemas.microsoft.com/office/drawing/2014/chart" uri="{C3380CC4-5D6E-409C-BE32-E72D297353CC}">
              <c16:uniqueId val="{00000002-FB92-4E7E-A1C0-1E292F2B7329}"/>
            </c:ext>
          </c:extLst>
        </c:ser>
        <c:ser>
          <c:idx val="3"/>
          <c:order val="3"/>
          <c:tx>
            <c:strRef>
              <c:f>Sheet1!$N$5:$N$6</c:f>
              <c:strCache>
                <c:ptCount val="1"/>
                <c:pt idx="0">
                  <c:v>No doses</c:v>
                </c:pt>
              </c:strCache>
            </c:strRef>
          </c:tx>
          <c:spPr>
            <a:solidFill>
              <a:srgbClr val="3A9CAE"/>
            </a:solidFill>
            <a:ln>
              <a:noFill/>
            </a:ln>
            <a:effectLst/>
          </c:spPr>
          <c:invertIfNegative val="0"/>
          <c:cat>
            <c:multiLvlStrRef>
              <c:f>Sheet1!$J$7:$J$29</c:f>
              <c:multiLvlStrCache>
                <c:ptCount val="20"/>
                <c:lvl>
                  <c:pt idx="0">
                    <c:v>1</c:v>
                  </c:pt>
                  <c:pt idx="1">
                    <c:v>2</c:v>
                  </c:pt>
                  <c:pt idx="2">
                    <c:v>3</c:v>
                  </c:pt>
                  <c:pt idx="3">
                    <c:v>4</c:v>
                  </c:pt>
                  <c:pt idx="4">
                    <c:v>5</c:v>
                  </c:pt>
                  <c:pt idx="5">
                    <c:v>6</c:v>
                  </c:pt>
                  <c:pt idx="6">
                    <c:v>7</c:v>
                  </c:pt>
                  <c:pt idx="7">
                    <c:v>8</c:v>
                  </c:pt>
                  <c:pt idx="8">
                    <c:v>9</c:v>
                  </c:pt>
                  <c:pt idx="9">
                    <c:v>10</c:v>
                  </c:pt>
                  <c:pt idx="10">
                    <c:v>1</c:v>
                  </c:pt>
                  <c:pt idx="11">
                    <c:v>2</c:v>
                  </c:pt>
                  <c:pt idx="12">
                    <c:v>3</c:v>
                  </c:pt>
                  <c:pt idx="13">
                    <c:v>4</c:v>
                  </c:pt>
                  <c:pt idx="14">
                    <c:v>5</c:v>
                  </c:pt>
                  <c:pt idx="15">
                    <c:v>6</c:v>
                  </c:pt>
                  <c:pt idx="16">
                    <c:v>7</c:v>
                  </c:pt>
                  <c:pt idx="17">
                    <c:v>8</c:v>
                  </c:pt>
                  <c:pt idx="18">
                    <c:v>9</c:v>
                  </c:pt>
                  <c:pt idx="19">
                    <c:v>10</c:v>
                  </c:pt>
                </c:lvl>
                <c:lvl>
                  <c:pt idx="0">
                    <c:v>Non-disabled</c:v>
                  </c:pt>
                  <c:pt idx="10">
                    <c:v>Disabled</c:v>
                  </c:pt>
                </c:lvl>
              </c:multiLvlStrCache>
            </c:multiLvlStrRef>
          </c:cat>
          <c:val>
            <c:numRef>
              <c:f>Sheet1!$N$7:$N$29</c:f>
              <c:numCache>
                <c:formatCode>0%</c:formatCode>
                <c:ptCount val="20"/>
                <c:pt idx="0">
                  <c:v>7.7352742044685174E-2</c:v>
                </c:pt>
                <c:pt idx="1">
                  <c:v>8.9900539090984236E-2</c:v>
                </c:pt>
                <c:pt idx="2">
                  <c:v>9.7226658649781098E-2</c:v>
                </c:pt>
                <c:pt idx="3">
                  <c:v>0.10155180920287089</c:v>
                </c:pt>
                <c:pt idx="4">
                  <c:v>0.10838083572808216</c:v>
                </c:pt>
                <c:pt idx="5">
                  <c:v>0.11463620981387479</c:v>
                </c:pt>
                <c:pt idx="6">
                  <c:v>0.1210442215141401</c:v>
                </c:pt>
                <c:pt idx="7">
                  <c:v>0.12562747688243064</c:v>
                </c:pt>
                <c:pt idx="8">
                  <c:v>0.13837356332685374</c:v>
                </c:pt>
                <c:pt idx="9">
                  <c:v>0.16962640385056155</c:v>
                </c:pt>
                <c:pt idx="10">
                  <c:v>4.991312146180147E-2</c:v>
                </c:pt>
                <c:pt idx="11">
                  <c:v>5.683807439824945E-2</c:v>
                </c:pt>
                <c:pt idx="12">
                  <c:v>6.1020911806728147E-2</c:v>
                </c:pt>
                <c:pt idx="13">
                  <c:v>6.2756551941900857E-2</c:v>
                </c:pt>
                <c:pt idx="14">
                  <c:v>6.8382076063763023E-2</c:v>
                </c:pt>
                <c:pt idx="15">
                  <c:v>7.3010524259517012E-2</c:v>
                </c:pt>
                <c:pt idx="16">
                  <c:v>7.7457087157053878E-2</c:v>
                </c:pt>
                <c:pt idx="17">
                  <c:v>7.8621948437143513E-2</c:v>
                </c:pt>
                <c:pt idx="18">
                  <c:v>8.7537603049578611E-2</c:v>
                </c:pt>
                <c:pt idx="19">
                  <c:v>0.1024564299237827</c:v>
                </c:pt>
              </c:numCache>
            </c:numRef>
          </c:val>
          <c:extLst>
            <c:ext xmlns:c16="http://schemas.microsoft.com/office/drawing/2014/chart" uri="{C3380CC4-5D6E-409C-BE32-E72D297353CC}">
              <c16:uniqueId val="{00000003-FB92-4E7E-A1C0-1E292F2B7329}"/>
            </c:ext>
          </c:extLst>
        </c:ser>
        <c:dLbls>
          <c:showLegendKey val="0"/>
          <c:showVal val="0"/>
          <c:showCatName val="0"/>
          <c:showSerName val="0"/>
          <c:showPercent val="0"/>
          <c:showBubbleSize val="0"/>
        </c:dLbls>
        <c:gapWidth val="150"/>
        <c:overlap val="100"/>
        <c:axId val="1016265640"/>
        <c:axId val="1016266424"/>
      </c:barChart>
      <c:catAx>
        <c:axId val="10162656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a:t>NZ Deprivation Index</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16266424"/>
        <c:crosses val="autoZero"/>
        <c:auto val="1"/>
        <c:lblAlgn val="ctr"/>
        <c:lblOffset val="100"/>
        <c:noMultiLvlLbl val="0"/>
      </c:catAx>
      <c:valAx>
        <c:axId val="101626642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a:t>Percentage of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16265640"/>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[Disability_analysis_11March2022_clean - appendix A&amp;B_butchered.xlsx]Adult_tables_charts!PivotTable8</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NZ"/>
              <a:t>Vaccination status by disability status across lower North Island DHBs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Adult_tables_charts!$AL$28</c:f>
              <c:strCache>
                <c:ptCount val="1"/>
                <c:pt idx="0">
                  <c:v>Three or more doses</c:v>
                </c:pt>
              </c:strCache>
            </c:strRef>
          </c:tx>
          <c:spPr>
            <a:solidFill>
              <a:srgbClr val="F7B735"/>
            </a:solidFill>
            <a:ln>
              <a:noFill/>
            </a:ln>
            <a:effectLst/>
          </c:spPr>
          <c:invertIfNegative val="0"/>
          <c:cat>
            <c:multiLvlStrRef>
              <c:f>Adult_tables_charts!$AK$29:$AK$53</c:f>
              <c:multiLvlStrCache>
                <c:ptCount val="16"/>
                <c:lvl>
                  <c:pt idx="0">
                    <c:v>Non-disabled</c:v>
                  </c:pt>
                  <c:pt idx="1">
                    <c:v>Disabled</c:v>
                  </c:pt>
                  <c:pt idx="2">
                    <c:v>Non-disabled</c:v>
                  </c:pt>
                  <c:pt idx="3">
                    <c:v>Disabled</c:v>
                  </c:pt>
                  <c:pt idx="4">
                    <c:v>Non-disabled</c:v>
                  </c:pt>
                  <c:pt idx="5">
                    <c:v>Disabled</c:v>
                  </c:pt>
                  <c:pt idx="6">
                    <c:v>Non-disabled</c:v>
                  </c:pt>
                  <c:pt idx="7">
                    <c:v>Disabled</c:v>
                  </c:pt>
                  <c:pt idx="8">
                    <c:v>Non-disabled</c:v>
                  </c:pt>
                  <c:pt idx="9">
                    <c:v>Disabled</c:v>
                  </c:pt>
                  <c:pt idx="10">
                    <c:v>Non-disabled</c:v>
                  </c:pt>
                  <c:pt idx="11">
                    <c:v>Disabled</c:v>
                  </c:pt>
                  <c:pt idx="12">
                    <c:v>Non-disabled</c:v>
                  </c:pt>
                  <c:pt idx="13">
                    <c:v>Disabled</c:v>
                  </c:pt>
                  <c:pt idx="14">
                    <c:v>Non-disabled</c:v>
                  </c:pt>
                  <c:pt idx="15">
                    <c:v>Disabled</c:v>
                  </c:pt>
                </c:lvl>
                <c:lvl>
                  <c:pt idx="0">
                    <c:v>All DHBs</c:v>
                  </c:pt>
                  <c:pt idx="2">
                    <c:v>Taranaki</c:v>
                  </c:pt>
                  <c:pt idx="4">
                    <c:v>Hawke's Bay</c:v>
                  </c:pt>
                  <c:pt idx="6">
                    <c:v>Whanganui</c:v>
                  </c:pt>
                  <c:pt idx="8">
                    <c:v>MidCentral</c:v>
                  </c:pt>
                  <c:pt idx="10">
                    <c:v>Hutt Valley</c:v>
                  </c:pt>
                  <c:pt idx="12">
                    <c:v>Capital and Coast</c:v>
                  </c:pt>
                  <c:pt idx="14">
                    <c:v>Wairarapa</c:v>
                  </c:pt>
                </c:lvl>
              </c:multiLvlStrCache>
            </c:multiLvlStrRef>
          </c:cat>
          <c:val>
            <c:numRef>
              <c:f>Adult_tables_charts!$AL$29:$AL$53</c:f>
              <c:numCache>
                <c:formatCode>0%</c:formatCode>
                <c:ptCount val="16"/>
                <c:pt idx="0">
                  <c:v>0.48392463502890654</c:v>
                </c:pt>
                <c:pt idx="1">
                  <c:v>0.66198757981983969</c:v>
                </c:pt>
                <c:pt idx="2">
                  <c:v>0.42113131313131313</c:v>
                </c:pt>
                <c:pt idx="3">
                  <c:v>0.60030983733539889</c:v>
                </c:pt>
                <c:pt idx="4">
                  <c:v>0.44385292251675723</c:v>
                </c:pt>
                <c:pt idx="5">
                  <c:v>0.65307677652886265</c:v>
                </c:pt>
                <c:pt idx="6">
                  <c:v>0.42789043583535108</c:v>
                </c:pt>
                <c:pt idx="7">
                  <c:v>0.65150839649279235</c:v>
                </c:pt>
                <c:pt idx="8">
                  <c:v>0.45861050539622955</c:v>
                </c:pt>
                <c:pt idx="9">
                  <c:v>0.6494380772226549</c:v>
                </c:pt>
                <c:pt idx="10">
                  <c:v>0.52474903718669108</c:v>
                </c:pt>
                <c:pt idx="11">
                  <c:v>0.67711851960640324</c:v>
                </c:pt>
                <c:pt idx="12">
                  <c:v>0.59890431284151058</c:v>
                </c:pt>
                <c:pt idx="13">
                  <c:v>0.73186706557774728</c:v>
                </c:pt>
                <c:pt idx="14">
                  <c:v>0.49248712829673219</c:v>
                </c:pt>
                <c:pt idx="15">
                  <c:v>0.67715097402597402</c:v>
                </c:pt>
              </c:numCache>
            </c:numRef>
          </c:val>
          <c:extLst>
            <c:ext xmlns:c16="http://schemas.microsoft.com/office/drawing/2014/chart" uri="{C3380CC4-5D6E-409C-BE32-E72D297353CC}">
              <c16:uniqueId val="{00000000-65FA-46A3-B943-6888D7B90F8D}"/>
            </c:ext>
          </c:extLst>
        </c:ser>
        <c:ser>
          <c:idx val="1"/>
          <c:order val="1"/>
          <c:tx>
            <c:strRef>
              <c:f>Adult_tables_charts!$AM$28</c:f>
              <c:strCache>
                <c:ptCount val="1"/>
                <c:pt idx="0">
                  <c:v>Two doses</c:v>
                </c:pt>
              </c:strCache>
            </c:strRef>
          </c:tx>
          <c:spPr>
            <a:solidFill>
              <a:srgbClr val="26567F"/>
            </a:solidFill>
            <a:ln>
              <a:noFill/>
            </a:ln>
            <a:effectLst/>
          </c:spPr>
          <c:invertIfNegative val="0"/>
          <c:cat>
            <c:multiLvlStrRef>
              <c:f>Adult_tables_charts!$AK$29:$AK$53</c:f>
              <c:multiLvlStrCache>
                <c:ptCount val="16"/>
                <c:lvl>
                  <c:pt idx="0">
                    <c:v>Non-disabled</c:v>
                  </c:pt>
                  <c:pt idx="1">
                    <c:v>Disabled</c:v>
                  </c:pt>
                  <c:pt idx="2">
                    <c:v>Non-disabled</c:v>
                  </c:pt>
                  <c:pt idx="3">
                    <c:v>Disabled</c:v>
                  </c:pt>
                  <c:pt idx="4">
                    <c:v>Non-disabled</c:v>
                  </c:pt>
                  <c:pt idx="5">
                    <c:v>Disabled</c:v>
                  </c:pt>
                  <c:pt idx="6">
                    <c:v>Non-disabled</c:v>
                  </c:pt>
                  <c:pt idx="7">
                    <c:v>Disabled</c:v>
                  </c:pt>
                  <c:pt idx="8">
                    <c:v>Non-disabled</c:v>
                  </c:pt>
                  <c:pt idx="9">
                    <c:v>Disabled</c:v>
                  </c:pt>
                  <c:pt idx="10">
                    <c:v>Non-disabled</c:v>
                  </c:pt>
                  <c:pt idx="11">
                    <c:v>Disabled</c:v>
                  </c:pt>
                  <c:pt idx="12">
                    <c:v>Non-disabled</c:v>
                  </c:pt>
                  <c:pt idx="13">
                    <c:v>Disabled</c:v>
                  </c:pt>
                  <c:pt idx="14">
                    <c:v>Non-disabled</c:v>
                  </c:pt>
                  <c:pt idx="15">
                    <c:v>Disabled</c:v>
                  </c:pt>
                </c:lvl>
                <c:lvl>
                  <c:pt idx="0">
                    <c:v>All DHBs</c:v>
                  </c:pt>
                  <c:pt idx="2">
                    <c:v>Taranaki</c:v>
                  </c:pt>
                  <c:pt idx="4">
                    <c:v>Hawke's Bay</c:v>
                  </c:pt>
                  <c:pt idx="6">
                    <c:v>Whanganui</c:v>
                  </c:pt>
                  <c:pt idx="8">
                    <c:v>MidCentral</c:v>
                  </c:pt>
                  <c:pt idx="10">
                    <c:v>Hutt Valley</c:v>
                  </c:pt>
                  <c:pt idx="12">
                    <c:v>Capital and Coast</c:v>
                  </c:pt>
                  <c:pt idx="14">
                    <c:v>Wairarapa</c:v>
                  </c:pt>
                </c:lvl>
              </c:multiLvlStrCache>
            </c:multiLvlStrRef>
          </c:cat>
          <c:val>
            <c:numRef>
              <c:f>Adult_tables_charts!$AM$29:$AM$53</c:f>
              <c:numCache>
                <c:formatCode>0%</c:formatCode>
                <c:ptCount val="16"/>
                <c:pt idx="0">
                  <c:v>0.37631835553891868</c:v>
                </c:pt>
                <c:pt idx="1">
                  <c:v>0.25359581013219945</c:v>
                </c:pt>
                <c:pt idx="2">
                  <c:v>0.41527272727272729</c:v>
                </c:pt>
                <c:pt idx="3">
                  <c:v>0.29598072123246405</c:v>
                </c:pt>
                <c:pt idx="4">
                  <c:v>0.40093233663420957</c:v>
                </c:pt>
                <c:pt idx="5">
                  <c:v>0.25909697085159078</c:v>
                </c:pt>
                <c:pt idx="6">
                  <c:v>0.38430690072639223</c:v>
                </c:pt>
                <c:pt idx="7">
                  <c:v>0.24149204933868332</c:v>
                </c:pt>
                <c:pt idx="8">
                  <c:v>0.38494024124320297</c:v>
                </c:pt>
                <c:pt idx="9">
                  <c:v>0.25609213308111717</c:v>
                </c:pt>
                <c:pt idx="10">
                  <c:v>0.3581665509186186</c:v>
                </c:pt>
                <c:pt idx="11">
                  <c:v>0.24834777500367161</c:v>
                </c:pt>
                <c:pt idx="12">
                  <c:v>0.30342544904626711</c:v>
                </c:pt>
                <c:pt idx="13">
                  <c:v>0.21068165278563919</c:v>
                </c:pt>
                <c:pt idx="14">
                  <c:v>0.36828832615319956</c:v>
                </c:pt>
                <c:pt idx="15">
                  <c:v>0.24107142857142858</c:v>
                </c:pt>
              </c:numCache>
            </c:numRef>
          </c:val>
          <c:extLst>
            <c:ext xmlns:c16="http://schemas.microsoft.com/office/drawing/2014/chart" uri="{C3380CC4-5D6E-409C-BE32-E72D297353CC}">
              <c16:uniqueId val="{00000001-65FA-46A3-B943-6888D7B90F8D}"/>
            </c:ext>
          </c:extLst>
        </c:ser>
        <c:ser>
          <c:idx val="2"/>
          <c:order val="2"/>
          <c:tx>
            <c:strRef>
              <c:f>Adult_tables_charts!$AN$28</c:f>
              <c:strCache>
                <c:ptCount val="1"/>
                <c:pt idx="0">
                  <c:v>One dose</c:v>
                </c:pt>
              </c:strCache>
            </c:strRef>
          </c:tx>
          <c:spPr>
            <a:solidFill>
              <a:srgbClr val="E8731B"/>
            </a:solidFill>
            <a:ln>
              <a:noFill/>
            </a:ln>
            <a:effectLst/>
          </c:spPr>
          <c:invertIfNegative val="0"/>
          <c:cat>
            <c:multiLvlStrRef>
              <c:f>Adult_tables_charts!$AK$29:$AK$53</c:f>
              <c:multiLvlStrCache>
                <c:ptCount val="16"/>
                <c:lvl>
                  <c:pt idx="0">
                    <c:v>Non-disabled</c:v>
                  </c:pt>
                  <c:pt idx="1">
                    <c:v>Disabled</c:v>
                  </c:pt>
                  <c:pt idx="2">
                    <c:v>Non-disabled</c:v>
                  </c:pt>
                  <c:pt idx="3">
                    <c:v>Disabled</c:v>
                  </c:pt>
                  <c:pt idx="4">
                    <c:v>Non-disabled</c:v>
                  </c:pt>
                  <c:pt idx="5">
                    <c:v>Disabled</c:v>
                  </c:pt>
                  <c:pt idx="6">
                    <c:v>Non-disabled</c:v>
                  </c:pt>
                  <c:pt idx="7">
                    <c:v>Disabled</c:v>
                  </c:pt>
                  <c:pt idx="8">
                    <c:v>Non-disabled</c:v>
                  </c:pt>
                  <c:pt idx="9">
                    <c:v>Disabled</c:v>
                  </c:pt>
                  <c:pt idx="10">
                    <c:v>Non-disabled</c:v>
                  </c:pt>
                  <c:pt idx="11">
                    <c:v>Disabled</c:v>
                  </c:pt>
                  <c:pt idx="12">
                    <c:v>Non-disabled</c:v>
                  </c:pt>
                  <c:pt idx="13">
                    <c:v>Disabled</c:v>
                  </c:pt>
                  <c:pt idx="14">
                    <c:v>Non-disabled</c:v>
                  </c:pt>
                  <c:pt idx="15">
                    <c:v>Disabled</c:v>
                  </c:pt>
                </c:lvl>
                <c:lvl>
                  <c:pt idx="0">
                    <c:v>All DHBs</c:v>
                  </c:pt>
                  <c:pt idx="2">
                    <c:v>Taranaki</c:v>
                  </c:pt>
                  <c:pt idx="4">
                    <c:v>Hawke's Bay</c:v>
                  </c:pt>
                  <c:pt idx="6">
                    <c:v>Whanganui</c:v>
                  </c:pt>
                  <c:pt idx="8">
                    <c:v>MidCentral</c:v>
                  </c:pt>
                  <c:pt idx="10">
                    <c:v>Hutt Valley</c:v>
                  </c:pt>
                  <c:pt idx="12">
                    <c:v>Capital and Coast</c:v>
                  </c:pt>
                  <c:pt idx="14">
                    <c:v>Wairarapa</c:v>
                  </c:pt>
                </c:lvl>
              </c:multiLvlStrCache>
            </c:multiLvlStrRef>
          </c:cat>
          <c:val>
            <c:numRef>
              <c:f>Adult_tables_charts!$AN$29:$AN$53</c:f>
              <c:numCache>
                <c:formatCode>0%</c:formatCode>
                <c:ptCount val="16"/>
                <c:pt idx="0">
                  <c:v>2.108814300304547E-2</c:v>
                </c:pt>
                <c:pt idx="1">
                  <c:v>1.2089242780174845E-2</c:v>
                </c:pt>
                <c:pt idx="2">
                  <c:v>2.0484848484848484E-2</c:v>
                </c:pt>
                <c:pt idx="3">
                  <c:v>1.2135295636457526E-2</c:v>
                </c:pt>
                <c:pt idx="4">
                  <c:v>2.6839158138636802E-2</c:v>
                </c:pt>
                <c:pt idx="5">
                  <c:v>1.2192798628310155E-2</c:v>
                </c:pt>
                <c:pt idx="6">
                  <c:v>3.0871670702179176E-2</c:v>
                </c:pt>
                <c:pt idx="7">
                  <c:v>1.8130480011888838E-2</c:v>
                </c:pt>
                <c:pt idx="8">
                  <c:v>3.138369814237213E-2</c:v>
                </c:pt>
                <c:pt idx="9">
                  <c:v>1.7024591075998664E-2</c:v>
                </c:pt>
                <c:pt idx="10">
                  <c:v>2.4496495990908519E-2</c:v>
                </c:pt>
                <c:pt idx="11">
                  <c:v>1.6155088852988692E-2</c:v>
                </c:pt>
                <c:pt idx="12">
                  <c:v>1.9088924714308134E-2</c:v>
                </c:pt>
                <c:pt idx="13">
                  <c:v>1.055227621896984E-2</c:v>
                </c:pt>
                <c:pt idx="14">
                  <c:v>2.3746979090049386E-2</c:v>
                </c:pt>
                <c:pt idx="15">
                  <c:v>1.4407467532467532E-2</c:v>
                </c:pt>
              </c:numCache>
            </c:numRef>
          </c:val>
          <c:extLst>
            <c:ext xmlns:c16="http://schemas.microsoft.com/office/drawing/2014/chart" uri="{C3380CC4-5D6E-409C-BE32-E72D297353CC}">
              <c16:uniqueId val="{00000002-65FA-46A3-B943-6888D7B90F8D}"/>
            </c:ext>
          </c:extLst>
        </c:ser>
        <c:ser>
          <c:idx val="3"/>
          <c:order val="3"/>
          <c:tx>
            <c:strRef>
              <c:f>Adult_tables_charts!$AO$28</c:f>
              <c:strCache>
                <c:ptCount val="1"/>
                <c:pt idx="0">
                  <c:v>No doses</c:v>
                </c:pt>
              </c:strCache>
            </c:strRef>
          </c:tx>
          <c:spPr>
            <a:solidFill>
              <a:srgbClr val="3A9CAE"/>
            </a:solidFill>
            <a:ln>
              <a:noFill/>
            </a:ln>
            <a:effectLst/>
          </c:spPr>
          <c:invertIfNegative val="0"/>
          <c:cat>
            <c:multiLvlStrRef>
              <c:f>Adult_tables_charts!$AK$29:$AK$53</c:f>
              <c:multiLvlStrCache>
                <c:ptCount val="16"/>
                <c:lvl>
                  <c:pt idx="0">
                    <c:v>Non-disabled</c:v>
                  </c:pt>
                  <c:pt idx="1">
                    <c:v>Disabled</c:v>
                  </c:pt>
                  <c:pt idx="2">
                    <c:v>Non-disabled</c:v>
                  </c:pt>
                  <c:pt idx="3">
                    <c:v>Disabled</c:v>
                  </c:pt>
                  <c:pt idx="4">
                    <c:v>Non-disabled</c:v>
                  </c:pt>
                  <c:pt idx="5">
                    <c:v>Disabled</c:v>
                  </c:pt>
                  <c:pt idx="6">
                    <c:v>Non-disabled</c:v>
                  </c:pt>
                  <c:pt idx="7">
                    <c:v>Disabled</c:v>
                  </c:pt>
                  <c:pt idx="8">
                    <c:v>Non-disabled</c:v>
                  </c:pt>
                  <c:pt idx="9">
                    <c:v>Disabled</c:v>
                  </c:pt>
                  <c:pt idx="10">
                    <c:v>Non-disabled</c:v>
                  </c:pt>
                  <c:pt idx="11">
                    <c:v>Disabled</c:v>
                  </c:pt>
                  <c:pt idx="12">
                    <c:v>Non-disabled</c:v>
                  </c:pt>
                  <c:pt idx="13">
                    <c:v>Disabled</c:v>
                  </c:pt>
                  <c:pt idx="14">
                    <c:v>Non-disabled</c:v>
                  </c:pt>
                  <c:pt idx="15">
                    <c:v>Disabled</c:v>
                  </c:pt>
                </c:lvl>
                <c:lvl>
                  <c:pt idx="0">
                    <c:v>All DHBs</c:v>
                  </c:pt>
                  <c:pt idx="2">
                    <c:v>Taranaki</c:v>
                  </c:pt>
                  <c:pt idx="4">
                    <c:v>Hawke's Bay</c:v>
                  </c:pt>
                  <c:pt idx="6">
                    <c:v>Whanganui</c:v>
                  </c:pt>
                  <c:pt idx="8">
                    <c:v>MidCentral</c:v>
                  </c:pt>
                  <c:pt idx="10">
                    <c:v>Hutt Valley</c:v>
                  </c:pt>
                  <c:pt idx="12">
                    <c:v>Capital and Coast</c:v>
                  </c:pt>
                  <c:pt idx="14">
                    <c:v>Wairarapa</c:v>
                  </c:pt>
                </c:lvl>
              </c:multiLvlStrCache>
            </c:multiLvlStrRef>
          </c:cat>
          <c:val>
            <c:numRef>
              <c:f>Adult_tables_charts!$AO$29:$AO$53</c:f>
              <c:numCache>
                <c:formatCode>0%</c:formatCode>
                <c:ptCount val="16"/>
                <c:pt idx="0">
                  <c:v>0.11866886642912929</c:v>
                </c:pt>
                <c:pt idx="1">
                  <c:v>7.2327367267786005E-2</c:v>
                </c:pt>
                <c:pt idx="2">
                  <c:v>0.14311111111111111</c:v>
                </c:pt>
                <c:pt idx="3">
                  <c:v>9.157414579567949E-2</c:v>
                </c:pt>
                <c:pt idx="4">
                  <c:v>0.12837558271039637</c:v>
                </c:pt>
                <c:pt idx="5">
                  <c:v>7.563345399123643E-2</c:v>
                </c:pt>
                <c:pt idx="6">
                  <c:v>0.15693099273607747</c:v>
                </c:pt>
                <c:pt idx="7">
                  <c:v>8.8869074156635461E-2</c:v>
                </c:pt>
                <c:pt idx="8">
                  <c:v>0.12506555521819537</c:v>
                </c:pt>
                <c:pt idx="9">
                  <c:v>7.7445198620229222E-2</c:v>
                </c:pt>
                <c:pt idx="10">
                  <c:v>9.2587915903781806E-2</c:v>
                </c:pt>
                <c:pt idx="11">
                  <c:v>5.8378616536936406E-2</c:v>
                </c:pt>
                <c:pt idx="12">
                  <c:v>7.8581313397914201E-2</c:v>
                </c:pt>
                <c:pt idx="13">
                  <c:v>4.6899005417643733E-2</c:v>
                </c:pt>
                <c:pt idx="14">
                  <c:v>0.11547756646001892</c:v>
                </c:pt>
                <c:pt idx="15">
                  <c:v>6.7370129870129872E-2</c:v>
                </c:pt>
              </c:numCache>
            </c:numRef>
          </c:val>
          <c:extLst>
            <c:ext xmlns:c16="http://schemas.microsoft.com/office/drawing/2014/chart" uri="{C3380CC4-5D6E-409C-BE32-E72D297353CC}">
              <c16:uniqueId val="{00000003-65FA-46A3-B943-6888D7B90F8D}"/>
            </c:ext>
          </c:extLst>
        </c:ser>
        <c:dLbls>
          <c:showLegendKey val="0"/>
          <c:showVal val="0"/>
          <c:showCatName val="0"/>
          <c:showSerName val="0"/>
          <c:showPercent val="0"/>
          <c:showBubbleSize val="0"/>
        </c:dLbls>
        <c:gapWidth val="150"/>
        <c:overlap val="100"/>
        <c:axId val="1013891000"/>
        <c:axId val="1013896488"/>
      </c:barChart>
      <c:catAx>
        <c:axId val="1013891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13896488"/>
        <c:crosses val="autoZero"/>
        <c:auto val="1"/>
        <c:lblAlgn val="ctr"/>
        <c:lblOffset val="100"/>
        <c:noMultiLvlLbl val="0"/>
      </c:catAx>
      <c:valAx>
        <c:axId val="101389648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a:t>Percentage of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13891000"/>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[Disability_analysis_11March2022_clean - appendix A&amp;B_butchered.xlsx]Adult_tables_charts!PivotTable1</c:name>
    <c:fmtId val="-1"/>
  </c:pivotSource>
  <c:chart>
    <c:title>
      <c:tx>
        <c:rich>
          <a:bodyPr rot="0" vert="horz"/>
          <a:lstStyle/>
          <a:p>
            <a:pPr>
              <a:defRPr/>
            </a:pPr>
            <a:r>
              <a:rPr lang="en-NZ"/>
              <a:t>Vaccination status by disability status across South Island DHBs</a:t>
            </a:r>
          </a:p>
        </c:rich>
      </c:tx>
      <c:overlay val="0"/>
      <c:spPr>
        <a:noFill/>
        <a:ln>
          <a:noFill/>
        </a:ln>
        <a:effectLst/>
      </c:spPr>
    </c:title>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2"/>
        <c:spPr>
          <a:solidFill>
            <a:srgbClr val="3A9CAE"/>
          </a:solidFill>
          <a:ln>
            <a:noFill/>
          </a:ln>
          <a:effectLst/>
        </c:spPr>
        <c:marker>
          <c:symbol val="none"/>
        </c:marker>
        <c:dLbl>
          <c:idx val="0"/>
          <c:delete val="1"/>
          <c:extLst>
            <c:ext xmlns:c15="http://schemas.microsoft.com/office/drawing/2012/chart" uri="{CE6537A1-D6FC-4f65-9D91-7224C49458BB}"/>
          </c:extLst>
        </c:dLbl>
      </c:pivotFmt>
      <c:pivotFmt>
        <c:idx val="13"/>
        <c:spPr>
          <a:solidFill>
            <a:srgbClr val="E8731B"/>
          </a:solidFill>
          <a:ln>
            <a:noFill/>
          </a:ln>
          <a:effectLst/>
        </c:spPr>
        <c:marker>
          <c:symbol val="none"/>
        </c:marker>
        <c:dLbl>
          <c:idx val="0"/>
          <c:delete val="1"/>
          <c:extLst>
            <c:ext xmlns:c15="http://schemas.microsoft.com/office/drawing/2012/chart" uri="{CE6537A1-D6FC-4f65-9D91-7224C49458BB}"/>
          </c:extLst>
        </c:dLbl>
      </c:pivotFmt>
      <c:pivotFmt>
        <c:idx val="14"/>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15"/>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16"/>
        <c:marker>
          <c:symbol val="none"/>
        </c:marker>
        <c:dLbl>
          <c:idx val="0"/>
          <c:delete val="1"/>
          <c:extLst>
            <c:ext xmlns:c15="http://schemas.microsoft.com/office/drawing/2012/chart" uri="{CE6537A1-D6FC-4f65-9D91-7224C49458BB}"/>
          </c:extLst>
        </c:dLbl>
      </c:pivotFmt>
      <c:pivotFmt>
        <c:idx val="17"/>
        <c:marker>
          <c:symbol val="none"/>
        </c:marker>
        <c:dLbl>
          <c:idx val="0"/>
          <c:delete val="1"/>
          <c:extLst>
            <c:ext xmlns:c15="http://schemas.microsoft.com/office/drawing/2012/chart" uri="{CE6537A1-D6FC-4f65-9D91-7224C49458BB}"/>
          </c:extLst>
        </c:dLbl>
      </c:pivotFmt>
      <c:pivotFmt>
        <c:idx val="18"/>
        <c:marker>
          <c:symbol val="none"/>
        </c:marker>
        <c:dLbl>
          <c:idx val="0"/>
          <c:delete val="1"/>
          <c:extLst>
            <c:ext xmlns:c15="http://schemas.microsoft.com/office/drawing/2012/chart" uri="{CE6537A1-D6FC-4f65-9D91-7224C49458BB}"/>
          </c:extLst>
        </c:dLbl>
      </c:pivotFmt>
      <c:pivotFmt>
        <c:idx val="19"/>
        <c:marker>
          <c:symbol val="none"/>
        </c:marker>
        <c:dLbl>
          <c:idx val="0"/>
          <c:delete val="1"/>
          <c:extLst>
            <c:ext xmlns:c15="http://schemas.microsoft.com/office/drawing/2012/chart" uri="{CE6537A1-D6FC-4f65-9D91-7224C49458BB}"/>
          </c:extLst>
        </c:dLbl>
      </c:pivotFmt>
      <c:pivotFmt>
        <c:idx val="20"/>
        <c:marker>
          <c:symbol val="none"/>
        </c:marker>
        <c:dLbl>
          <c:idx val="0"/>
          <c:delete val="1"/>
          <c:extLst>
            <c:ext xmlns:c15="http://schemas.microsoft.com/office/drawing/2012/chart" uri="{CE6537A1-D6FC-4f65-9D91-7224C49458BB}"/>
          </c:extLst>
        </c:dLbl>
      </c:pivotFmt>
      <c:pivotFmt>
        <c:idx val="21"/>
        <c:marker>
          <c:symbol val="none"/>
        </c:marker>
        <c:dLbl>
          <c:idx val="0"/>
          <c:delete val="1"/>
          <c:extLst>
            <c:ext xmlns:c15="http://schemas.microsoft.com/office/drawing/2012/chart" uri="{CE6537A1-D6FC-4f65-9D91-7224C49458BB}"/>
          </c:extLst>
        </c:dLbl>
      </c:pivotFmt>
      <c:pivotFmt>
        <c:idx val="22"/>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23"/>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24"/>
        <c:spPr>
          <a:solidFill>
            <a:srgbClr val="E8731B"/>
          </a:solidFill>
          <a:ln>
            <a:noFill/>
          </a:ln>
          <a:effectLst/>
        </c:spPr>
        <c:marker>
          <c:symbol val="none"/>
        </c:marker>
        <c:dLbl>
          <c:idx val="0"/>
          <c:delete val="1"/>
          <c:extLst>
            <c:ext xmlns:c15="http://schemas.microsoft.com/office/drawing/2012/chart" uri="{CE6537A1-D6FC-4f65-9D91-7224C49458BB}"/>
          </c:extLst>
        </c:dLbl>
      </c:pivotFmt>
      <c:pivotFmt>
        <c:idx val="25"/>
        <c:spPr>
          <a:solidFill>
            <a:srgbClr val="3A9CAE"/>
          </a:solidFill>
          <a:ln>
            <a:noFill/>
          </a:ln>
          <a:effectLst/>
        </c:spPr>
        <c:marker>
          <c:symbol val="none"/>
        </c:marker>
        <c:dLbl>
          <c:idx val="0"/>
          <c:delete val="1"/>
          <c:extLst>
            <c:ext xmlns:c15="http://schemas.microsoft.com/office/drawing/2012/chart" uri="{CE6537A1-D6FC-4f65-9D91-7224C49458BB}"/>
          </c:extLst>
        </c:dLbl>
      </c:pivotFmt>
      <c:pivotFmt>
        <c:idx val="26"/>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27"/>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28"/>
        <c:spPr>
          <a:solidFill>
            <a:srgbClr val="E8731B"/>
          </a:solidFill>
          <a:ln>
            <a:noFill/>
          </a:ln>
          <a:effectLst/>
        </c:spPr>
        <c:marker>
          <c:symbol val="none"/>
        </c:marker>
        <c:dLbl>
          <c:idx val="0"/>
          <c:delete val="1"/>
          <c:extLst>
            <c:ext xmlns:c15="http://schemas.microsoft.com/office/drawing/2012/chart" uri="{CE6537A1-D6FC-4f65-9D91-7224C49458BB}"/>
          </c:extLst>
        </c:dLbl>
      </c:pivotFmt>
      <c:pivotFmt>
        <c:idx val="29"/>
        <c:spPr>
          <a:solidFill>
            <a:srgbClr val="3A9CAE"/>
          </a:solidFill>
          <a:ln>
            <a:noFill/>
          </a:ln>
          <a:effectLst/>
        </c:spPr>
        <c:marker>
          <c:symbol val="none"/>
        </c:marker>
        <c:dLbl>
          <c:idx val="0"/>
          <c:delete val="1"/>
          <c:extLst>
            <c:ext xmlns:c15="http://schemas.microsoft.com/office/drawing/2012/chart" uri="{CE6537A1-D6FC-4f65-9D91-7224C49458BB}"/>
          </c:extLst>
        </c:dLbl>
      </c:pivotFmt>
    </c:pivotFmts>
    <c:plotArea>
      <c:layout/>
      <c:barChart>
        <c:barDir val="col"/>
        <c:grouping val="stacked"/>
        <c:varyColors val="0"/>
        <c:ser>
          <c:idx val="0"/>
          <c:order val="0"/>
          <c:tx>
            <c:strRef>
              <c:f>Adult_tables_charts!$U$22</c:f>
              <c:strCache>
                <c:ptCount val="1"/>
                <c:pt idx="0">
                  <c:v>Three or more doses</c:v>
                </c:pt>
              </c:strCache>
            </c:strRef>
          </c:tx>
          <c:spPr>
            <a:solidFill>
              <a:srgbClr val="F7B735"/>
            </a:solidFill>
            <a:ln>
              <a:noFill/>
            </a:ln>
            <a:effectLst/>
          </c:spPr>
          <c:invertIfNegative val="0"/>
          <c:cat>
            <c:multiLvlStrRef>
              <c:f>Adult_tables_charts!$T$23:$T$41</c:f>
              <c:multiLvlStrCache>
                <c:ptCount val="12"/>
                <c:lvl>
                  <c:pt idx="0">
                    <c:v>Non-disabled</c:v>
                  </c:pt>
                  <c:pt idx="1">
                    <c:v>Disabled</c:v>
                  </c:pt>
                  <c:pt idx="2">
                    <c:v>Non-disabled</c:v>
                  </c:pt>
                  <c:pt idx="3">
                    <c:v>Disabled</c:v>
                  </c:pt>
                  <c:pt idx="4">
                    <c:v>Non-disabled</c:v>
                  </c:pt>
                  <c:pt idx="5">
                    <c:v>Disabled</c:v>
                  </c:pt>
                  <c:pt idx="6">
                    <c:v>Non-disabled</c:v>
                  </c:pt>
                  <c:pt idx="7">
                    <c:v>Disabled</c:v>
                  </c:pt>
                  <c:pt idx="8">
                    <c:v>Non-disabled</c:v>
                  </c:pt>
                  <c:pt idx="9">
                    <c:v>Disabled</c:v>
                  </c:pt>
                  <c:pt idx="10">
                    <c:v>Non-disabled</c:v>
                  </c:pt>
                  <c:pt idx="11">
                    <c:v>Disabled</c:v>
                  </c:pt>
                </c:lvl>
                <c:lvl>
                  <c:pt idx="0">
                    <c:v>All DHBs</c:v>
                  </c:pt>
                  <c:pt idx="2">
                    <c:v>Nelson Marlborough</c:v>
                  </c:pt>
                  <c:pt idx="4">
                    <c:v>West Coast</c:v>
                  </c:pt>
                  <c:pt idx="6">
                    <c:v>Canterbury</c:v>
                  </c:pt>
                  <c:pt idx="8">
                    <c:v>South Canterbury</c:v>
                  </c:pt>
                  <c:pt idx="10">
                    <c:v>Southern</c:v>
                  </c:pt>
                </c:lvl>
              </c:multiLvlStrCache>
            </c:multiLvlStrRef>
          </c:cat>
          <c:val>
            <c:numRef>
              <c:f>Adult_tables_charts!$U$23:$U$41</c:f>
              <c:numCache>
                <c:formatCode>0%</c:formatCode>
                <c:ptCount val="12"/>
                <c:pt idx="0">
                  <c:v>0.48392463502890654</c:v>
                </c:pt>
                <c:pt idx="1">
                  <c:v>0.66198757981983969</c:v>
                </c:pt>
                <c:pt idx="2">
                  <c:v>0.49711729025283768</c:v>
                </c:pt>
                <c:pt idx="3">
                  <c:v>0.6884202148826104</c:v>
                </c:pt>
                <c:pt idx="4">
                  <c:v>0.45040598630791273</c:v>
                </c:pt>
                <c:pt idx="5">
                  <c:v>0.63299086757990863</c:v>
                </c:pt>
                <c:pt idx="6">
                  <c:v>0.51886005105714472</c:v>
                </c:pt>
                <c:pt idx="7">
                  <c:v>0.68248977662700616</c:v>
                </c:pt>
                <c:pt idx="8">
                  <c:v>0.501190573938747</c:v>
                </c:pt>
                <c:pt idx="9">
                  <c:v>0.70166666666666666</c:v>
                </c:pt>
                <c:pt idx="10">
                  <c:v>0.51942002641407614</c:v>
                </c:pt>
                <c:pt idx="11">
                  <c:v>0.69903893142205575</c:v>
                </c:pt>
              </c:numCache>
            </c:numRef>
          </c:val>
          <c:extLst>
            <c:ext xmlns:c16="http://schemas.microsoft.com/office/drawing/2014/chart" uri="{C3380CC4-5D6E-409C-BE32-E72D297353CC}">
              <c16:uniqueId val="{00000000-B6AC-41D5-8FC6-FF73FFEC1DAD}"/>
            </c:ext>
          </c:extLst>
        </c:ser>
        <c:ser>
          <c:idx val="1"/>
          <c:order val="1"/>
          <c:tx>
            <c:strRef>
              <c:f>Adult_tables_charts!$V$22</c:f>
              <c:strCache>
                <c:ptCount val="1"/>
                <c:pt idx="0">
                  <c:v>Two doses</c:v>
                </c:pt>
              </c:strCache>
            </c:strRef>
          </c:tx>
          <c:spPr>
            <a:solidFill>
              <a:srgbClr val="26567F"/>
            </a:solidFill>
            <a:ln>
              <a:noFill/>
            </a:ln>
            <a:effectLst/>
          </c:spPr>
          <c:invertIfNegative val="0"/>
          <c:cat>
            <c:multiLvlStrRef>
              <c:f>Adult_tables_charts!$T$23:$T$41</c:f>
              <c:multiLvlStrCache>
                <c:ptCount val="12"/>
                <c:lvl>
                  <c:pt idx="0">
                    <c:v>Non-disabled</c:v>
                  </c:pt>
                  <c:pt idx="1">
                    <c:v>Disabled</c:v>
                  </c:pt>
                  <c:pt idx="2">
                    <c:v>Non-disabled</c:v>
                  </c:pt>
                  <c:pt idx="3">
                    <c:v>Disabled</c:v>
                  </c:pt>
                  <c:pt idx="4">
                    <c:v>Non-disabled</c:v>
                  </c:pt>
                  <c:pt idx="5">
                    <c:v>Disabled</c:v>
                  </c:pt>
                  <c:pt idx="6">
                    <c:v>Non-disabled</c:v>
                  </c:pt>
                  <c:pt idx="7">
                    <c:v>Disabled</c:v>
                  </c:pt>
                  <c:pt idx="8">
                    <c:v>Non-disabled</c:v>
                  </c:pt>
                  <c:pt idx="9">
                    <c:v>Disabled</c:v>
                  </c:pt>
                  <c:pt idx="10">
                    <c:v>Non-disabled</c:v>
                  </c:pt>
                  <c:pt idx="11">
                    <c:v>Disabled</c:v>
                  </c:pt>
                </c:lvl>
                <c:lvl>
                  <c:pt idx="0">
                    <c:v>All DHBs</c:v>
                  </c:pt>
                  <c:pt idx="2">
                    <c:v>Nelson Marlborough</c:v>
                  </c:pt>
                  <c:pt idx="4">
                    <c:v>West Coast</c:v>
                  </c:pt>
                  <c:pt idx="6">
                    <c:v>Canterbury</c:v>
                  </c:pt>
                  <c:pt idx="8">
                    <c:v>South Canterbury</c:v>
                  </c:pt>
                  <c:pt idx="10">
                    <c:v>Southern</c:v>
                  </c:pt>
                </c:lvl>
              </c:multiLvlStrCache>
            </c:multiLvlStrRef>
          </c:cat>
          <c:val>
            <c:numRef>
              <c:f>Adult_tables_charts!$V$23:$V$41</c:f>
              <c:numCache>
                <c:formatCode>0%</c:formatCode>
                <c:ptCount val="12"/>
                <c:pt idx="0">
                  <c:v>0.37631835553891868</c:v>
                </c:pt>
                <c:pt idx="1">
                  <c:v>0.25359581013219945</c:v>
                </c:pt>
                <c:pt idx="2">
                  <c:v>0.34181130262446702</c:v>
                </c:pt>
                <c:pt idx="3">
                  <c:v>0.21448467966573817</c:v>
                </c:pt>
                <c:pt idx="4">
                  <c:v>0.37573634771533193</c:v>
                </c:pt>
                <c:pt idx="5">
                  <c:v>0.26170091324200911</c:v>
                </c:pt>
                <c:pt idx="6">
                  <c:v>0.36914970216665577</c:v>
                </c:pt>
                <c:pt idx="7">
                  <c:v>0.24858722232496969</c:v>
                </c:pt>
                <c:pt idx="8">
                  <c:v>0.36628623039658431</c:v>
                </c:pt>
                <c:pt idx="9">
                  <c:v>0.22183333333333333</c:v>
                </c:pt>
                <c:pt idx="10">
                  <c:v>0.35843617308320436</c:v>
                </c:pt>
                <c:pt idx="11">
                  <c:v>0.22883205733832873</c:v>
                </c:pt>
              </c:numCache>
            </c:numRef>
          </c:val>
          <c:extLst>
            <c:ext xmlns:c16="http://schemas.microsoft.com/office/drawing/2014/chart" uri="{C3380CC4-5D6E-409C-BE32-E72D297353CC}">
              <c16:uniqueId val="{00000001-B6AC-41D5-8FC6-FF73FFEC1DAD}"/>
            </c:ext>
          </c:extLst>
        </c:ser>
        <c:ser>
          <c:idx val="2"/>
          <c:order val="2"/>
          <c:tx>
            <c:strRef>
              <c:f>Adult_tables_charts!$W$22</c:f>
              <c:strCache>
                <c:ptCount val="1"/>
                <c:pt idx="0">
                  <c:v>One dose</c:v>
                </c:pt>
              </c:strCache>
            </c:strRef>
          </c:tx>
          <c:spPr>
            <a:solidFill>
              <a:srgbClr val="E8731B"/>
            </a:solidFill>
            <a:ln>
              <a:noFill/>
            </a:ln>
            <a:effectLst/>
          </c:spPr>
          <c:invertIfNegative val="0"/>
          <c:cat>
            <c:multiLvlStrRef>
              <c:f>Adult_tables_charts!$T$23:$T$41</c:f>
              <c:multiLvlStrCache>
                <c:ptCount val="12"/>
                <c:lvl>
                  <c:pt idx="0">
                    <c:v>Non-disabled</c:v>
                  </c:pt>
                  <c:pt idx="1">
                    <c:v>Disabled</c:v>
                  </c:pt>
                  <c:pt idx="2">
                    <c:v>Non-disabled</c:v>
                  </c:pt>
                  <c:pt idx="3">
                    <c:v>Disabled</c:v>
                  </c:pt>
                  <c:pt idx="4">
                    <c:v>Non-disabled</c:v>
                  </c:pt>
                  <c:pt idx="5">
                    <c:v>Disabled</c:v>
                  </c:pt>
                  <c:pt idx="6">
                    <c:v>Non-disabled</c:v>
                  </c:pt>
                  <c:pt idx="7">
                    <c:v>Disabled</c:v>
                  </c:pt>
                  <c:pt idx="8">
                    <c:v>Non-disabled</c:v>
                  </c:pt>
                  <c:pt idx="9">
                    <c:v>Disabled</c:v>
                  </c:pt>
                  <c:pt idx="10">
                    <c:v>Non-disabled</c:v>
                  </c:pt>
                  <c:pt idx="11">
                    <c:v>Disabled</c:v>
                  </c:pt>
                </c:lvl>
                <c:lvl>
                  <c:pt idx="0">
                    <c:v>All DHBs</c:v>
                  </c:pt>
                  <c:pt idx="2">
                    <c:v>Nelson Marlborough</c:v>
                  </c:pt>
                  <c:pt idx="4">
                    <c:v>West Coast</c:v>
                  </c:pt>
                  <c:pt idx="6">
                    <c:v>Canterbury</c:v>
                  </c:pt>
                  <c:pt idx="8">
                    <c:v>South Canterbury</c:v>
                  </c:pt>
                  <c:pt idx="10">
                    <c:v>Southern</c:v>
                  </c:pt>
                </c:lvl>
              </c:multiLvlStrCache>
            </c:multiLvlStrRef>
          </c:cat>
          <c:val>
            <c:numRef>
              <c:f>Adult_tables_charts!$W$23:$W$41</c:f>
              <c:numCache>
                <c:formatCode>0%</c:formatCode>
                <c:ptCount val="12"/>
                <c:pt idx="0">
                  <c:v>2.108814300304547E-2</c:v>
                </c:pt>
                <c:pt idx="1">
                  <c:v>1.2089242780174845E-2</c:v>
                </c:pt>
                <c:pt idx="2">
                  <c:v>2.3121734430364544E-2</c:v>
                </c:pt>
                <c:pt idx="3">
                  <c:v>1.1672635628067383E-2</c:v>
                </c:pt>
                <c:pt idx="4">
                  <c:v>2.3722337207451042E-2</c:v>
                </c:pt>
                <c:pt idx="5">
                  <c:v>1.2842465753424657E-2</c:v>
                </c:pt>
                <c:pt idx="6">
                  <c:v>1.6929043660404531E-2</c:v>
                </c:pt>
                <c:pt idx="7">
                  <c:v>9.9254053387583998E-3</c:v>
                </c:pt>
                <c:pt idx="8">
                  <c:v>1.7078577879957303E-2</c:v>
                </c:pt>
                <c:pt idx="9">
                  <c:v>8.5000000000000006E-3</c:v>
                </c:pt>
                <c:pt idx="10">
                  <c:v>1.8589261115923711E-2</c:v>
                </c:pt>
                <c:pt idx="11">
                  <c:v>9.5455285877178702E-3</c:v>
                </c:pt>
              </c:numCache>
            </c:numRef>
          </c:val>
          <c:extLst>
            <c:ext xmlns:c16="http://schemas.microsoft.com/office/drawing/2014/chart" uri="{C3380CC4-5D6E-409C-BE32-E72D297353CC}">
              <c16:uniqueId val="{00000002-B6AC-41D5-8FC6-FF73FFEC1DAD}"/>
            </c:ext>
          </c:extLst>
        </c:ser>
        <c:ser>
          <c:idx val="3"/>
          <c:order val="3"/>
          <c:tx>
            <c:strRef>
              <c:f>Adult_tables_charts!$X$22</c:f>
              <c:strCache>
                <c:ptCount val="1"/>
                <c:pt idx="0">
                  <c:v>No doses</c:v>
                </c:pt>
              </c:strCache>
            </c:strRef>
          </c:tx>
          <c:spPr>
            <a:solidFill>
              <a:srgbClr val="3A9CAE"/>
            </a:solidFill>
            <a:ln>
              <a:noFill/>
            </a:ln>
            <a:effectLst/>
          </c:spPr>
          <c:invertIfNegative val="0"/>
          <c:cat>
            <c:multiLvlStrRef>
              <c:f>Adult_tables_charts!$T$23:$T$41</c:f>
              <c:multiLvlStrCache>
                <c:ptCount val="12"/>
                <c:lvl>
                  <c:pt idx="0">
                    <c:v>Non-disabled</c:v>
                  </c:pt>
                  <c:pt idx="1">
                    <c:v>Disabled</c:v>
                  </c:pt>
                  <c:pt idx="2">
                    <c:v>Non-disabled</c:v>
                  </c:pt>
                  <c:pt idx="3">
                    <c:v>Disabled</c:v>
                  </c:pt>
                  <c:pt idx="4">
                    <c:v>Non-disabled</c:v>
                  </c:pt>
                  <c:pt idx="5">
                    <c:v>Disabled</c:v>
                  </c:pt>
                  <c:pt idx="6">
                    <c:v>Non-disabled</c:v>
                  </c:pt>
                  <c:pt idx="7">
                    <c:v>Disabled</c:v>
                  </c:pt>
                  <c:pt idx="8">
                    <c:v>Non-disabled</c:v>
                  </c:pt>
                  <c:pt idx="9">
                    <c:v>Disabled</c:v>
                  </c:pt>
                  <c:pt idx="10">
                    <c:v>Non-disabled</c:v>
                  </c:pt>
                  <c:pt idx="11">
                    <c:v>Disabled</c:v>
                  </c:pt>
                </c:lvl>
                <c:lvl>
                  <c:pt idx="0">
                    <c:v>All DHBs</c:v>
                  </c:pt>
                  <c:pt idx="2">
                    <c:v>Nelson Marlborough</c:v>
                  </c:pt>
                  <c:pt idx="4">
                    <c:v>West Coast</c:v>
                  </c:pt>
                  <c:pt idx="6">
                    <c:v>Canterbury</c:v>
                  </c:pt>
                  <c:pt idx="8">
                    <c:v>South Canterbury</c:v>
                  </c:pt>
                  <c:pt idx="10">
                    <c:v>Southern</c:v>
                  </c:pt>
                </c:lvl>
              </c:multiLvlStrCache>
            </c:multiLvlStrRef>
          </c:cat>
          <c:val>
            <c:numRef>
              <c:f>Adult_tables_charts!$X$23:$X$41</c:f>
              <c:numCache>
                <c:formatCode>0%</c:formatCode>
                <c:ptCount val="12"/>
                <c:pt idx="0">
                  <c:v>0.11866886642912929</c:v>
                </c:pt>
                <c:pt idx="1">
                  <c:v>7.2327367267786005E-2</c:v>
                </c:pt>
                <c:pt idx="2">
                  <c:v>0.1379496726923308</c:v>
                </c:pt>
                <c:pt idx="3">
                  <c:v>8.5422469823584035E-2</c:v>
                </c:pt>
                <c:pt idx="4">
                  <c:v>0.15013532876930424</c:v>
                </c:pt>
                <c:pt idx="5">
                  <c:v>9.2465753424657529E-2</c:v>
                </c:pt>
                <c:pt idx="6">
                  <c:v>9.5061203115794982E-2</c:v>
                </c:pt>
                <c:pt idx="7">
                  <c:v>5.8997595709265764E-2</c:v>
                </c:pt>
                <c:pt idx="8">
                  <c:v>0.11544461778471139</c:v>
                </c:pt>
                <c:pt idx="9">
                  <c:v>6.8000000000000005E-2</c:v>
                </c:pt>
                <c:pt idx="10">
                  <c:v>0.1035545393867958</c:v>
                </c:pt>
                <c:pt idx="11">
                  <c:v>6.2583482651897698E-2</c:v>
                </c:pt>
              </c:numCache>
            </c:numRef>
          </c:val>
          <c:extLst>
            <c:ext xmlns:c16="http://schemas.microsoft.com/office/drawing/2014/chart" uri="{C3380CC4-5D6E-409C-BE32-E72D297353CC}">
              <c16:uniqueId val="{00000003-B6AC-41D5-8FC6-FF73FFEC1DAD}"/>
            </c:ext>
          </c:extLst>
        </c:ser>
        <c:dLbls>
          <c:showLegendKey val="0"/>
          <c:showVal val="0"/>
          <c:showCatName val="0"/>
          <c:showSerName val="0"/>
          <c:showPercent val="0"/>
          <c:showBubbleSize val="0"/>
        </c:dLbls>
        <c:gapWidth val="150"/>
        <c:overlap val="100"/>
        <c:axId val="1013893352"/>
        <c:axId val="1013901584"/>
      </c:barChart>
      <c:catAx>
        <c:axId val="1013893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013901584"/>
        <c:crosses val="autoZero"/>
        <c:auto val="1"/>
        <c:lblAlgn val="ctr"/>
        <c:lblOffset val="100"/>
        <c:noMultiLvlLbl val="0"/>
      </c:catAx>
      <c:valAx>
        <c:axId val="101390158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NZ"/>
                  <a:t>Percentage of people</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1013893352"/>
        <c:crosses val="autoZero"/>
        <c:crossBetween val="between"/>
        <c:majorUnit val="0.2"/>
      </c:valAx>
    </c:plotArea>
    <c:legend>
      <c:legendPos val="t"/>
      <c:overlay val="0"/>
      <c:spPr>
        <a:noFill/>
        <a:ln>
          <a:noFill/>
        </a:ln>
        <a:effectLst/>
      </c:spPr>
      <c:txPr>
        <a:bodyPr rot="0" vert="horz"/>
        <a:lstStyle/>
        <a:p>
          <a:pPr>
            <a:defRPr/>
          </a:pPr>
          <a:endParaRPr lang="en-US"/>
        </a:p>
      </c:txPr>
    </c:legend>
    <c:plotVisOnly val="1"/>
    <c:dispBlanksAs val="gap"/>
    <c:showDLblsOverMax val="0"/>
    <c:extLst/>
  </c:chart>
  <c:spPr>
    <a:ln w="0">
      <a:noFill/>
    </a:ln>
  </c:spPr>
  <c:txPr>
    <a:bodyPr/>
    <a:lstStyle/>
    <a:p>
      <a:pPr algn="ctr">
        <a:defRPr lang="en-US" sz="1000" b="0" i="0" u="none" strike="noStrike" kern="1200" baseline="0">
          <a:solidFill>
            <a:sysClr val="windowText" lastClr="000000"/>
          </a:solidFill>
          <a:latin typeface="+mn-lt"/>
          <a:ea typeface="+mn-ea"/>
          <a:cs typeface="+mn-cs"/>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NZ"/>
              <a:t>Vaccination status by disability status and age group</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strRef>
              <c:f>'[Disability_analysis_11March2022_clean - appendix A&amp;B_butchered.xlsx]Adult_tables_charts'!$M$165</c:f>
              <c:strCache>
                <c:ptCount val="1"/>
                <c:pt idx="0">
                  <c:v>Three or more</c:v>
                </c:pt>
              </c:strCache>
            </c:strRef>
          </c:tx>
          <c:spPr>
            <a:solidFill>
              <a:srgbClr val="F7B735"/>
            </a:solidFill>
            <a:ln>
              <a:noFill/>
            </a:ln>
            <a:effectLst/>
          </c:spPr>
          <c:invertIfNegative val="0"/>
          <c:cat>
            <c:multiLvlStrRef>
              <c:f>'[Disability_analysis_11March2022_clean - appendix A&amp;B_butchered.xlsx]Adult_tables_charts'!$K$166:$L$171</c:f>
              <c:multiLvlStrCache>
                <c:ptCount val="6"/>
                <c:lvl>
                  <c:pt idx="0">
                    <c:v>Non-disabled</c:v>
                  </c:pt>
                  <c:pt idx="1">
                    <c:v>Disabled</c:v>
                  </c:pt>
                  <c:pt idx="2">
                    <c:v>Non-disabled</c:v>
                  </c:pt>
                  <c:pt idx="3">
                    <c:v>Disabled</c:v>
                  </c:pt>
                  <c:pt idx="4">
                    <c:v>Non-disabled</c:v>
                  </c:pt>
                  <c:pt idx="5">
                    <c:v>Disabled</c:v>
                  </c:pt>
                </c:lvl>
                <c:lvl>
                  <c:pt idx="0">
                    <c:v>12 to 24</c:v>
                  </c:pt>
                  <c:pt idx="2">
                    <c:v>25 to 64</c:v>
                  </c:pt>
                  <c:pt idx="4">
                    <c:v>65+</c:v>
                  </c:pt>
                </c:lvl>
              </c:multiLvlStrCache>
            </c:multiLvlStrRef>
          </c:cat>
          <c:val>
            <c:numRef>
              <c:f>'[Disability_analysis_11March2022_clean - appendix A&amp;B_butchered.xlsx]Adult_tables_charts'!$M$166:$M$171</c:f>
              <c:numCache>
                <c:formatCode>0%</c:formatCode>
                <c:ptCount val="6"/>
                <c:pt idx="0">
                  <c:v>0.19420583212094378</c:v>
                </c:pt>
                <c:pt idx="1">
                  <c:v>0.20439597462903014</c:v>
                </c:pt>
                <c:pt idx="2">
                  <c:v>0.52781883153666942</c:v>
                </c:pt>
                <c:pt idx="3">
                  <c:v>0.61920211487623167</c:v>
                </c:pt>
                <c:pt idx="4">
                  <c:v>0.75311402790339921</c:v>
                </c:pt>
                <c:pt idx="5">
                  <c:v>0.84488150718210875</c:v>
                </c:pt>
              </c:numCache>
            </c:numRef>
          </c:val>
          <c:extLst>
            <c:ext xmlns:c16="http://schemas.microsoft.com/office/drawing/2014/chart" uri="{C3380CC4-5D6E-409C-BE32-E72D297353CC}">
              <c16:uniqueId val="{00000000-4E3F-4C06-B6E0-091DB76A7752}"/>
            </c:ext>
          </c:extLst>
        </c:ser>
        <c:ser>
          <c:idx val="1"/>
          <c:order val="1"/>
          <c:tx>
            <c:strRef>
              <c:f>'[Disability_analysis_11March2022_clean - appendix A&amp;B_butchered.xlsx]Adult_tables_charts'!$N$165</c:f>
              <c:strCache>
                <c:ptCount val="1"/>
                <c:pt idx="0">
                  <c:v>Two</c:v>
                </c:pt>
              </c:strCache>
            </c:strRef>
          </c:tx>
          <c:spPr>
            <a:solidFill>
              <a:srgbClr val="26567F"/>
            </a:solidFill>
            <a:ln>
              <a:noFill/>
            </a:ln>
            <a:effectLst/>
          </c:spPr>
          <c:invertIfNegative val="0"/>
          <c:cat>
            <c:multiLvlStrRef>
              <c:f>'[Disability_analysis_11March2022_clean - appendix A&amp;B_butchered.xlsx]Adult_tables_charts'!$K$166:$L$171</c:f>
              <c:multiLvlStrCache>
                <c:ptCount val="6"/>
                <c:lvl>
                  <c:pt idx="0">
                    <c:v>Non-disabled</c:v>
                  </c:pt>
                  <c:pt idx="1">
                    <c:v>Disabled</c:v>
                  </c:pt>
                  <c:pt idx="2">
                    <c:v>Non-disabled</c:v>
                  </c:pt>
                  <c:pt idx="3">
                    <c:v>Disabled</c:v>
                  </c:pt>
                  <c:pt idx="4">
                    <c:v>Non-disabled</c:v>
                  </c:pt>
                  <c:pt idx="5">
                    <c:v>Disabled</c:v>
                  </c:pt>
                </c:lvl>
                <c:lvl>
                  <c:pt idx="0">
                    <c:v>12 to 24</c:v>
                  </c:pt>
                  <c:pt idx="2">
                    <c:v>25 to 64</c:v>
                  </c:pt>
                  <c:pt idx="4">
                    <c:v>65+</c:v>
                  </c:pt>
                </c:lvl>
              </c:multiLvlStrCache>
            </c:multiLvlStrRef>
          </c:cat>
          <c:val>
            <c:numRef>
              <c:f>'[Disability_analysis_11March2022_clean - appendix A&amp;B_butchered.xlsx]Adult_tables_charts'!$N$166:$N$171</c:f>
              <c:numCache>
                <c:formatCode>0%</c:formatCode>
                <c:ptCount val="6"/>
                <c:pt idx="0">
                  <c:v>0.67112404326649377</c:v>
                </c:pt>
                <c:pt idx="1">
                  <c:v>0.66511638126766959</c:v>
                </c:pt>
                <c:pt idx="2">
                  <c:v>0.33247297905477446</c:v>
                </c:pt>
                <c:pt idx="3">
                  <c:v>0.28261475606825281</c:v>
                </c:pt>
                <c:pt idx="4">
                  <c:v>9.8452422496492484E-2</c:v>
                </c:pt>
                <c:pt idx="5">
                  <c:v>9.848282658235645E-2</c:v>
                </c:pt>
              </c:numCache>
            </c:numRef>
          </c:val>
          <c:extLst>
            <c:ext xmlns:c16="http://schemas.microsoft.com/office/drawing/2014/chart" uri="{C3380CC4-5D6E-409C-BE32-E72D297353CC}">
              <c16:uniqueId val="{00000001-4E3F-4C06-B6E0-091DB76A7752}"/>
            </c:ext>
          </c:extLst>
        </c:ser>
        <c:ser>
          <c:idx val="2"/>
          <c:order val="2"/>
          <c:tx>
            <c:strRef>
              <c:f>'[Disability_analysis_11March2022_clean - appendix A&amp;B_butchered.xlsx]Adult_tables_charts'!$O$165</c:f>
              <c:strCache>
                <c:ptCount val="1"/>
                <c:pt idx="0">
                  <c:v>One</c:v>
                </c:pt>
              </c:strCache>
            </c:strRef>
          </c:tx>
          <c:spPr>
            <a:solidFill>
              <a:srgbClr val="E8731B"/>
            </a:solidFill>
            <a:ln>
              <a:noFill/>
            </a:ln>
            <a:effectLst/>
          </c:spPr>
          <c:invertIfNegative val="0"/>
          <c:cat>
            <c:multiLvlStrRef>
              <c:f>'[Disability_analysis_11March2022_clean - appendix A&amp;B_butchered.xlsx]Adult_tables_charts'!$K$166:$L$171</c:f>
              <c:multiLvlStrCache>
                <c:ptCount val="6"/>
                <c:lvl>
                  <c:pt idx="0">
                    <c:v>Non-disabled</c:v>
                  </c:pt>
                  <c:pt idx="1">
                    <c:v>Disabled</c:v>
                  </c:pt>
                  <c:pt idx="2">
                    <c:v>Non-disabled</c:v>
                  </c:pt>
                  <c:pt idx="3">
                    <c:v>Disabled</c:v>
                  </c:pt>
                  <c:pt idx="4">
                    <c:v>Non-disabled</c:v>
                  </c:pt>
                  <c:pt idx="5">
                    <c:v>Disabled</c:v>
                  </c:pt>
                </c:lvl>
                <c:lvl>
                  <c:pt idx="0">
                    <c:v>12 to 24</c:v>
                  </c:pt>
                  <c:pt idx="2">
                    <c:v>25 to 64</c:v>
                  </c:pt>
                  <c:pt idx="4">
                    <c:v>65+</c:v>
                  </c:pt>
                </c:lvl>
              </c:multiLvlStrCache>
            </c:multiLvlStrRef>
          </c:cat>
          <c:val>
            <c:numRef>
              <c:f>'[Disability_analysis_11March2022_clean - appendix A&amp;B_butchered.xlsx]Adult_tables_charts'!$O$166:$O$171</c:f>
              <c:numCache>
                <c:formatCode>0%</c:formatCode>
                <c:ptCount val="6"/>
                <c:pt idx="0">
                  <c:v>3.1412486558289585E-2</c:v>
                </c:pt>
                <c:pt idx="1">
                  <c:v>3.0505222142470007E-2</c:v>
                </c:pt>
                <c:pt idx="2">
                  <c:v>2.0215486093068752E-2</c:v>
                </c:pt>
                <c:pt idx="3">
                  <c:v>1.3727469358327325E-2</c:v>
                </c:pt>
                <c:pt idx="4">
                  <c:v>8.0334441967624074E-3</c:v>
                </c:pt>
                <c:pt idx="5">
                  <c:v>5.2830756807434633E-3</c:v>
                </c:pt>
              </c:numCache>
            </c:numRef>
          </c:val>
          <c:extLst>
            <c:ext xmlns:c16="http://schemas.microsoft.com/office/drawing/2014/chart" uri="{C3380CC4-5D6E-409C-BE32-E72D297353CC}">
              <c16:uniqueId val="{00000002-4E3F-4C06-B6E0-091DB76A7752}"/>
            </c:ext>
          </c:extLst>
        </c:ser>
        <c:ser>
          <c:idx val="3"/>
          <c:order val="3"/>
          <c:tx>
            <c:strRef>
              <c:f>'[Disability_analysis_11March2022_clean - appendix A&amp;B_butchered.xlsx]Adult_tables_charts'!$P$165</c:f>
              <c:strCache>
                <c:ptCount val="1"/>
                <c:pt idx="0">
                  <c:v>None</c:v>
                </c:pt>
              </c:strCache>
            </c:strRef>
          </c:tx>
          <c:spPr>
            <a:solidFill>
              <a:srgbClr val="3A9CAE"/>
            </a:solidFill>
            <a:ln>
              <a:noFill/>
            </a:ln>
            <a:effectLst/>
          </c:spPr>
          <c:invertIfNegative val="0"/>
          <c:cat>
            <c:multiLvlStrRef>
              <c:f>'[Disability_analysis_11March2022_clean - appendix A&amp;B_butchered.xlsx]Adult_tables_charts'!$K$166:$L$171</c:f>
              <c:multiLvlStrCache>
                <c:ptCount val="6"/>
                <c:lvl>
                  <c:pt idx="0">
                    <c:v>Non-disabled</c:v>
                  </c:pt>
                  <c:pt idx="1">
                    <c:v>Disabled</c:v>
                  </c:pt>
                  <c:pt idx="2">
                    <c:v>Non-disabled</c:v>
                  </c:pt>
                  <c:pt idx="3">
                    <c:v>Disabled</c:v>
                  </c:pt>
                  <c:pt idx="4">
                    <c:v>Non-disabled</c:v>
                  </c:pt>
                  <c:pt idx="5">
                    <c:v>Disabled</c:v>
                  </c:pt>
                </c:lvl>
                <c:lvl>
                  <c:pt idx="0">
                    <c:v>12 to 24</c:v>
                  </c:pt>
                  <c:pt idx="2">
                    <c:v>25 to 64</c:v>
                  </c:pt>
                  <c:pt idx="4">
                    <c:v>65+</c:v>
                  </c:pt>
                </c:lvl>
              </c:multiLvlStrCache>
            </c:multiLvlStrRef>
          </c:cat>
          <c:val>
            <c:numRef>
              <c:f>'[Disability_analysis_11March2022_clean - appendix A&amp;B_butchered.xlsx]Adult_tables_charts'!$P$166:$P$171</c:f>
              <c:numCache>
                <c:formatCode>0%</c:formatCode>
                <c:ptCount val="6"/>
                <c:pt idx="0">
                  <c:v>0.10325763805427288</c:v>
                </c:pt>
                <c:pt idx="1">
                  <c:v>9.9982421960830264E-2</c:v>
                </c:pt>
                <c:pt idx="2">
                  <c:v>0.11949270331548736</c:v>
                </c:pt>
                <c:pt idx="3">
                  <c:v>8.4455659697188171E-2</c:v>
                </c:pt>
                <c:pt idx="4">
                  <c:v>0.14040010540334585</c:v>
                </c:pt>
                <c:pt idx="5">
                  <c:v>5.1352590554791383E-2</c:v>
                </c:pt>
              </c:numCache>
            </c:numRef>
          </c:val>
          <c:extLst>
            <c:ext xmlns:c16="http://schemas.microsoft.com/office/drawing/2014/chart" uri="{C3380CC4-5D6E-409C-BE32-E72D297353CC}">
              <c16:uniqueId val="{00000003-4E3F-4C06-B6E0-091DB76A7752}"/>
            </c:ext>
          </c:extLst>
        </c:ser>
        <c:dLbls>
          <c:showLegendKey val="0"/>
          <c:showVal val="0"/>
          <c:showCatName val="0"/>
          <c:showSerName val="0"/>
          <c:showPercent val="0"/>
          <c:showBubbleSize val="0"/>
        </c:dLbls>
        <c:gapWidth val="150"/>
        <c:overlap val="100"/>
        <c:axId val="1013892960"/>
        <c:axId val="1013892176"/>
      </c:barChart>
      <c:catAx>
        <c:axId val="10138929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a:t>Age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13892176"/>
        <c:crosses val="autoZero"/>
        <c:auto val="1"/>
        <c:lblAlgn val="ctr"/>
        <c:lblOffset val="100"/>
        <c:noMultiLvlLbl val="0"/>
      </c:catAx>
      <c:valAx>
        <c:axId val="101389217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a:t>Percentage of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13892960"/>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[Disability_analysis_11March2022_clean - appendix A&amp;B_butchered.xlsx]Adult_tables_charts!PivotTable3</c:name>
    <c:fmtId val="-1"/>
  </c:pivotSource>
  <c:chart>
    <c:title>
      <c:tx>
        <c:rich>
          <a:bodyPr rot="0" vert="horz"/>
          <a:lstStyle/>
          <a:p>
            <a:pPr>
              <a:defRPr b="0"/>
            </a:pPr>
            <a:r>
              <a:rPr lang="en-NZ" b="0"/>
              <a:t>Vaccination status by functional difficulty and age - 12 to 24 year olds </a:t>
            </a:r>
          </a:p>
        </c:rich>
      </c:tx>
      <c:overlay val="0"/>
      <c:spPr>
        <a:noFill/>
        <a:ln>
          <a:noFill/>
        </a:ln>
        <a:effectLst/>
      </c:spPr>
    </c:title>
    <c:autoTitleDeleted val="0"/>
    <c:pivotFmts>
      <c:pivotFmt>
        <c:idx val="0"/>
        <c:spPr>
          <a:solidFill>
            <a:srgbClr val="3A9CAE"/>
          </a:solidFill>
          <a:ln>
            <a:noFill/>
          </a:ln>
          <a:effectLst/>
        </c:spPr>
        <c:marker>
          <c:symbol val="none"/>
        </c:marker>
        <c:dLbl>
          <c:idx val="0"/>
          <c:delete val="1"/>
          <c:extLst>
            <c:ext xmlns:c15="http://schemas.microsoft.com/office/drawing/2012/chart" uri="{CE6537A1-D6FC-4f65-9D91-7224C49458BB}"/>
          </c:extLst>
        </c:dLbl>
      </c:pivotFmt>
      <c:pivotFmt>
        <c:idx val="1"/>
        <c:spPr>
          <a:solidFill>
            <a:srgbClr val="E8731B"/>
          </a:solidFill>
          <a:ln>
            <a:noFill/>
          </a:ln>
          <a:effectLst/>
        </c:spPr>
        <c:marker>
          <c:symbol val="none"/>
        </c:marker>
        <c:dLbl>
          <c:idx val="0"/>
          <c:delete val="1"/>
          <c:extLst>
            <c:ext xmlns:c15="http://schemas.microsoft.com/office/drawing/2012/chart" uri="{CE6537A1-D6FC-4f65-9D91-7224C49458BB}"/>
          </c:extLst>
        </c:dLbl>
      </c:pivotFmt>
      <c:pivotFmt>
        <c:idx val="2"/>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3"/>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4"/>
        <c:spPr>
          <a:solidFill>
            <a:srgbClr val="3A9CAE"/>
          </a:solidFill>
          <a:ln>
            <a:noFill/>
          </a:ln>
          <a:effectLst/>
        </c:spPr>
        <c:marker>
          <c:symbol val="none"/>
        </c:marker>
        <c:dLbl>
          <c:idx val="0"/>
          <c:delete val="1"/>
          <c:extLst>
            <c:ext xmlns:c15="http://schemas.microsoft.com/office/drawing/2012/chart" uri="{CE6537A1-D6FC-4f65-9D91-7224C49458BB}"/>
          </c:extLst>
        </c:dLbl>
      </c:pivotFmt>
      <c:pivotFmt>
        <c:idx val="5"/>
        <c:spPr>
          <a:solidFill>
            <a:srgbClr val="E8731B"/>
          </a:solidFill>
          <a:ln>
            <a:noFill/>
          </a:ln>
          <a:effectLst/>
        </c:spPr>
        <c:marker>
          <c:symbol val="none"/>
        </c:marker>
        <c:dLbl>
          <c:idx val="0"/>
          <c:delete val="1"/>
          <c:extLst>
            <c:ext xmlns:c15="http://schemas.microsoft.com/office/drawing/2012/chart" uri="{CE6537A1-D6FC-4f65-9D91-7224C49458BB}"/>
          </c:extLst>
        </c:dLbl>
      </c:pivotFmt>
      <c:pivotFmt>
        <c:idx val="6"/>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7"/>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8"/>
        <c:spPr>
          <a:solidFill>
            <a:srgbClr val="3A9CAE"/>
          </a:solidFill>
          <a:ln>
            <a:noFill/>
          </a:ln>
          <a:effectLst/>
        </c:spPr>
        <c:marker>
          <c:symbol val="none"/>
        </c:marker>
        <c:dLbl>
          <c:idx val="0"/>
          <c:delete val="1"/>
          <c:extLst>
            <c:ext xmlns:c15="http://schemas.microsoft.com/office/drawing/2012/chart" uri="{CE6537A1-D6FC-4f65-9D91-7224C49458BB}"/>
          </c:extLst>
        </c:dLbl>
      </c:pivotFmt>
      <c:pivotFmt>
        <c:idx val="9"/>
        <c:spPr>
          <a:solidFill>
            <a:srgbClr val="E8731B"/>
          </a:solidFill>
          <a:ln>
            <a:noFill/>
          </a:ln>
          <a:effectLst/>
        </c:spPr>
        <c:marker>
          <c:symbol val="none"/>
        </c:marker>
        <c:dLbl>
          <c:idx val="0"/>
          <c:delete val="1"/>
          <c:extLst>
            <c:ext xmlns:c15="http://schemas.microsoft.com/office/drawing/2012/chart" uri="{CE6537A1-D6FC-4f65-9D91-7224C49458BB}"/>
          </c:extLst>
        </c:dLbl>
      </c:pivotFmt>
      <c:pivotFmt>
        <c:idx val="10"/>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11"/>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12"/>
        <c:spPr>
          <a:solidFill>
            <a:srgbClr val="3A9CAE"/>
          </a:solidFill>
          <a:ln>
            <a:noFill/>
          </a:ln>
          <a:effectLst/>
        </c:spPr>
        <c:marker>
          <c:symbol val="none"/>
        </c:marker>
        <c:dLbl>
          <c:idx val="0"/>
          <c:delete val="1"/>
          <c:extLst>
            <c:ext xmlns:c15="http://schemas.microsoft.com/office/drawing/2012/chart" uri="{CE6537A1-D6FC-4f65-9D91-7224C49458BB}"/>
          </c:extLst>
        </c:dLbl>
      </c:pivotFmt>
      <c:pivotFmt>
        <c:idx val="13"/>
        <c:spPr>
          <a:solidFill>
            <a:srgbClr val="E8731B"/>
          </a:solidFill>
          <a:ln>
            <a:noFill/>
          </a:ln>
          <a:effectLst/>
        </c:spPr>
        <c:marker>
          <c:symbol val="none"/>
        </c:marker>
        <c:dLbl>
          <c:idx val="0"/>
          <c:delete val="1"/>
          <c:extLst>
            <c:ext xmlns:c15="http://schemas.microsoft.com/office/drawing/2012/chart" uri="{CE6537A1-D6FC-4f65-9D91-7224C49458BB}"/>
          </c:extLst>
        </c:dLbl>
      </c:pivotFmt>
      <c:pivotFmt>
        <c:idx val="14"/>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15"/>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16"/>
        <c:spPr>
          <a:solidFill>
            <a:srgbClr val="3A9CAE"/>
          </a:solidFill>
          <a:ln>
            <a:noFill/>
          </a:ln>
          <a:effectLst/>
        </c:spPr>
        <c:marker>
          <c:symbol val="none"/>
        </c:marker>
        <c:dLbl>
          <c:idx val="0"/>
          <c:delete val="1"/>
          <c:extLst>
            <c:ext xmlns:c15="http://schemas.microsoft.com/office/drawing/2012/chart" uri="{CE6537A1-D6FC-4f65-9D91-7224C49458BB}"/>
          </c:extLst>
        </c:dLbl>
      </c:pivotFmt>
      <c:pivotFmt>
        <c:idx val="17"/>
        <c:spPr>
          <a:solidFill>
            <a:srgbClr val="E8731B"/>
          </a:solidFill>
          <a:ln>
            <a:noFill/>
          </a:ln>
          <a:effectLst/>
        </c:spPr>
        <c:marker>
          <c:symbol val="none"/>
        </c:marker>
        <c:dLbl>
          <c:idx val="0"/>
          <c:delete val="1"/>
          <c:extLst>
            <c:ext xmlns:c15="http://schemas.microsoft.com/office/drawing/2012/chart" uri="{CE6537A1-D6FC-4f65-9D91-7224C49458BB}"/>
          </c:extLst>
        </c:dLbl>
      </c:pivotFmt>
      <c:pivotFmt>
        <c:idx val="18"/>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19"/>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20"/>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21"/>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22"/>
        <c:spPr>
          <a:solidFill>
            <a:srgbClr val="E8731B"/>
          </a:solidFill>
          <a:ln>
            <a:noFill/>
          </a:ln>
          <a:effectLst/>
        </c:spPr>
        <c:marker>
          <c:symbol val="none"/>
        </c:marker>
        <c:dLbl>
          <c:idx val="0"/>
          <c:delete val="1"/>
          <c:extLst>
            <c:ext xmlns:c15="http://schemas.microsoft.com/office/drawing/2012/chart" uri="{CE6537A1-D6FC-4f65-9D91-7224C49458BB}"/>
          </c:extLst>
        </c:dLbl>
      </c:pivotFmt>
      <c:pivotFmt>
        <c:idx val="23"/>
        <c:spPr>
          <a:solidFill>
            <a:srgbClr val="3A9CAE"/>
          </a:solidFill>
          <a:ln>
            <a:noFill/>
          </a:ln>
          <a:effectLst/>
        </c:spPr>
        <c:marker>
          <c:symbol val="none"/>
        </c:marker>
        <c:dLbl>
          <c:idx val="0"/>
          <c:delete val="1"/>
          <c:extLst>
            <c:ext xmlns:c15="http://schemas.microsoft.com/office/drawing/2012/chart" uri="{CE6537A1-D6FC-4f65-9D91-7224C49458BB}"/>
          </c:extLst>
        </c:dLbl>
      </c:pivotFmt>
      <c:pivotFmt>
        <c:idx val="24"/>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25"/>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26"/>
        <c:spPr>
          <a:solidFill>
            <a:srgbClr val="E8731B"/>
          </a:solidFill>
          <a:ln>
            <a:noFill/>
          </a:ln>
          <a:effectLst/>
        </c:spPr>
        <c:marker>
          <c:symbol val="none"/>
        </c:marker>
        <c:dLbl>
          <c:idx val="0"/>
          <c:delete val="1"/>
          <c:extLst>
            <c:ext xmlns:c15="http://schemas.microsoft.com/office/drawing/2012/chart" uri="{CE6537A1-D6FC-4f65-9D91-7224C49458BB}"/>
          </c:extLst>
        </c:dLbl>
      </c:pivotFmt>
      <c:pivotFmt>
        <c:idx val="27"/>
        <c:spPr>
          <a:solidFill>
            <a:srgbClr val="3A9CAE"/>
          </a:solidFill>
          <a:ln>
            <a:noFill/>
          </a:ln>
          <a:effectLst/>
        </c:spPr>
        <c:marker>
          <c:symbol val="none"/>
        </c:marker>
        <c:dLbl>
          <c:idx val="0"/>
          <c:delete val="1"/>
          <c:extLst>
            <c:ext xmlns:c15="http://schemas.microsoft.com/office/drawing/2012/chart" uri="{CE6537A1-D6FC-4f65-9D91-7224C49458BB}"/>
          </c:extLst>
        </c:dLbl>
      </c:pivotFmt>
    </c:pivotFmts>
    <c:plotArea>
      <c:layout/>
      <c:barChart>
        <c:barDir val="col"/>
        <c:grouping val="stacked"/>
        <c:varyColors val="0"/>
        <c:ser>
          <c:idx val="0"/>
          <c:order val="0"/>
          <c:tx>
            <c:strRef>
              <c:f>Adult_tables_charts!$U$82</c:f>
              <c:strCache>
                <c:ptCount val="1"/>
                <c:pt idx="0">
                  <c:v>Three or more doses</c:v>
                </c:pt>
              </c:strCache>
            </c:strRef>
          </c:tx>
          <c:spPr>
            <a:solidFill>
              <a:srgbClr val="F7B735"/>
            </a:solidFill>
            <a:ln>
              <a:noFill/>
            </a:ln>
            <a:effectLst/>
          </c:spPr>
          <c:invertIfNegative val="0"/>
          <c:cat>
            <c:multiLvlStrRef>
              <c:f>Adult_tables_charts!$T$83:$T$91</c:f>
              <c:multiLvlStrCache>
                <c:ptCount val="7"/>
                <c:lvl>
                  <c:pt idx="0">
                    <c:v>Non-disabled</c:v>
                  </c:pt>
                  <c:pt idx="1">
                    <c:v>Communication</c:v>
                  </c:pt>
                  <c:pt idx="2">
                    <c:v>Hearing</c:v>
                  </c:pt>
                  <c:pt idx="3">
                    <c:v>Remembering</c:v>
                  </c:pt>
                  <c:pt idx="4">
                    <c:v>Seeing</c:v>
                  </c:pt>
                  <c:pt idx="5">
                    <c:v>Walking</c:v>
                  </c:pt>
                  <c:pt idx="6">
                    <c:v>Washing</c:v>
                  </c:pt>
                </c:lvl>
                <c:lvl>
                  <c:pt idx="0">
                    <c:v>12 to 24</c:v>
                  </c:pt>
                </c:lvl>
              </c:multiLvlStrCache>
            </c:multiLvlStrRef>
          </c:cat>
          <c:val>
            <c:numRef>
              <c:f>Adult_tables_charts!$U$83:$U$91</c:f>
              <c:numCache>
                <c:formatCode>0%</c:formatCode>
                <c:ptCount val="7"/>
                <c:pt idx="0">
                  <c:v>0.19420583212094378</c:v>
                </c:pt>
                <c:pt idx="1">
                  <c:v>0.22061108234075608</c:v>
                </c:pt>
                <c:pt idx="2">
                  <c:v>0.21629792496908065</c:v>
                </c:pt>
                <c:pt idx="3">
                  <c:v>0.25884250403210685</c:v>
                </c:pt>
                <c:pt idx="4">
                  <c:v>0.29422454426713612</c:v>
                </c:pt>
                <c:pt idx="5">
                  <c:v>0.27996870109546168</c:v>
                </c:pt>
                <c:pt idx="6">
                  <c:v>0.20966484801247076</c:v>
                </c:pt>
              </c:numCache>
            </c:numRef>
          </c:val>
          <c:extLst>
            <c:ext xmlns:c16="http://schemas.microsoft.com/office/drawing/2014/chart" uri="{C3380CC4-5D6E-409C-BE32-E72D297353CC}">
              <c16:uniqueId val="{00000000-AD5D-41B6-B272-133A6339C59E}"/>
            </c:ext>
          </c:extLst>
        </c:ser>
        <c:ser>
          <c:idx val="1"/>
          <c:order val="1"/>
          <c:tx>
            <c:strRef>
              <c:f>Adult_tables_charts!$V$82</c:f>
              <c:strCache>
                <c:ptCount val="1"/>
                <c:pt idx="0">
                  <c:v>Two doses</c:v>
                </c:pt>
              </c:strCache>
            </c:strRef>
          </c:tx>
          <c:spPr>
            <a:solidFill>
              <a:srgbClr val="26567F"/>
            </a:solidFill>
            <a:ln>
              <a:noFill/>
            </a:ln>
            <a:effectLst/>
          </c:spPr>
          <c:invertIfNegative val="0"/>
          <c:cat>
            <c:multiLvlStrRef>
              <c:f>Adult_tables_charts!$T$83:$T$91</c:f>
              <c:multiLvlStrCache>
                <c:ptCount val="7"/>
                <c:lvl>
                  <c:pt idx="0">
                    <c:v>Non-disabled</c:v>
                  </c:pt>
                  <c:pt idx="1">
                    <c:v>Communication</c:v>
                  </c:pt>
                  <c:pt idx="2">
                    <c:v>Hearing</c:v>
                  </c:pt>
                  <c:pt idx="3">
                    <c:v>Remembering</c:v>
                  </c:pt>
                  <c:pt idx="4">
                    <c:v>Seeing</c:v>
                  </c:pt>
                  <c:pt idx="5">
                    <c:v>Walking</c:v>
                  </c:pt>
                  <c:pt idx="6">
                    <c:v>Washing</c:v>
                  </c:pt>
                </c:lvl>
                <c:lvl>
                  <c:pt idx="0">
                    <c:v>12 to 24</c:v>
                  </c:pt>
                </c:lvl>
              </c:multiLvlStrCache>
            </c:multiLvlStrRef>
          </c:cat>
          <c:val>
            <c:numRef>
              <c:f>Adult_tables_charts!$V$83:$V$91</c:f>
              <c:numCache>
                <c:formatCode>0%</c:formatCode>
                <c:ptCount val="7"/>
                <c:pt idx="0">
                  <c:v>0.67112404326649377</c:v>
                </c:pt>
                <c:pt idx="1">
                  <c:v>0.63852925945106165</c:v>
                </c:pt>
                <c:pt idx="2">
                  <c:v>0.65576473821629788</c:v>
                </c:pt>
                <c:pt idx="3">
                  <c:v>0.62383256441993928</c:v>
                </c:pt>
                <c:pt idx="4">
                  <c:v>0.60900675790788805</c:v>
                </c:pt>
                <c:pt idx="5">
                  <c:v>0.58794992175273864</c:v>
                </c:pt>
                <c:pt idx="6">
                  <c:v>0.63406079501169132</c:v>
                </c:pt>
              </c:numCache>
            </c:numRef>
          </c:val>
          <c:extLst>
            <c:ext xmlns:c16="http://schemas.microsoft.com/office/drawing/2014/chart" uri="{C3380CC4-5D6E-409C-BE32-E72D297353CC}">
              <c16:uniqueId val="{00000001-AD5D-41B6-B272-133A6339C59E}"/>
            </c:ext>
          </c:extLst>
        </c:ser>
        <c:ser>
          <c:idx val="2"/>
          <c:order val="2"/>
          <c:tx>
            <c:strRef>
              <c:f>Adult_tables_charts!$W$82</c:f>
              <c:strCache>
                <c:ptCount val="1"/>
                <c:pt idx="0">
                  <c:v>One dose</c:v>
                </c:pt>
              </c:strCache>
            </c:strRef>
          </c:tx>
          <c:spPr>
            <a:solidFill>
              <a:srgbClr val="E8731B"/>
            </a:solidFill>
            <a:ln>
              <a:noFill/>
            </a:ln>
            <a:effectLst/>
          </c:spPr>
          <c:invertIfNegative val="0"/>
          <c:cat>
            <c:multiLvlStrRef>
              <c:f>Adult_tables_charts!$T$83:$T$91</c:f>
              <c:multiLvlStrCache>
                <c:ptCount val="7"/>
                <c:lvl>
                  <c:pt idx="0">
                    <c:v>Non-disabled</c:v>
                  </c:pt>
                  <c:pt idx="1">
                    <c:v>Communication</c:v>
                  </c:pt>
                  <c:pt idx="2">
                    <c:v>Hearing</c:v>
                  </c:pt>
                  <c:pt idx="3">
                    <c:v>Remembering</c:v>
                  </c:pt>
                  <c:pt idx="4">
                    <c:v>Seeing</c:v>
                  </c:pt>
                  <c:pt idx="5">
                    <c:v>Walking</c:v>
                  </c:pt>
                  <c:pt idx="6">
                    <c:v>Washing</c:v>
                  </c:pt>
                </c:lvl>
                <c:lvl>
                  <c:pt idx="0">
                    <c:v>12 to 24</c:v>
                  </c:pt>
                </c:lvl>
              </c:multiLvlStrCache>
            </c:multiLvlStrRef>
          </c:cat>
          <c:val>
            <c:numRef>
              <c:f>Adult_tables_charts!$W$83:$W$91</c:f>
              <c:numCache>
                <c:formatCode>0%</c:formatCode>
                <c:ptCount val="7"/>
                <c:pt idx="0">
                  <c:v>3.1412486558289585E-2</c:v>
                </c:pt>
                <c:pt idx="1">
                  <c:v>3.4904194717762814E-2</c:v>
                </c:pt>
                <c:pt idx="2">
                  <c:v>3.4217397279098533E-2</c:v>
                </c:pt>
                <c:pt idx="3">
                  <c:v>2.7530850305689959E-2</c:v>
                </c:pt>
                <c:pt idx="4">
                  <c:v>2.3453915611335113E-2</c:v>
                </c:pt>
                <c:pt idx="5">
                  <c:v>2.8794992175273867E-2</c:v>
                </c:pt>
                <c:pt idx="6">
                  <c:v>3.6632891660171474E-2</c:v>
                </c:pt>
              </c:numCache>
            </c:numRef>
          </c:val>
          <c:extLst>
            <c:ext xmlns:c16="http://schemas.microsoft.com/office/drawing/2014/chart" uri="{C3380CC4-5D6E-409C-BE32-E72D297353CC}">
              <c16:uniqueId val="{00000002-AD5D-41B6-B272-133A6339C59E}"/>
            </c:ext>
          </c:extLst>
        </c:ser>
        <c:ser>
          <c:idx val="3"/>
          <c:order val="3"/>
          <c:tx>
            <c:strRef>
              <c:f>Adult_tables_charts!$X$82</c:f>
              <c:strCache>
                <c:ptCount val="1"/>
                <c:pt idx="0">
                  <c:v>No doses</c:v>
                </c:pt>
              </c:strCache>
            </c:strRef>
          </c:tx>
          <c:spPr>
            <a:solidFill>
              <a:srgbClr val="3A9CAE"/>
            </a:solidFill>
            <a:ln>
              <a:noFill/>
            </a:ln>
            <a:effectLst/>
          </c:spPr>
          <c:invertIfNegative val="0"/>
          <c:cat>
            <c:multiLvlStrRef>
              <c:f>Adult_tables_charts!$T$83:$T$91</c:f>
              <c:multiLvlStrCache>
                <c:ptCount val="7"/>
                <c:lvl>
                  <c:pt idx="0">
                    <c:v>Non-disabled</c:v>
                  </c:pt>
                  <c:pt idx="1">
                    <c:v>Communication</c:v>
                  </c:pt>
                  <c:pt idx="2">
                    <c:v>Hearing</c:v>
                  </c:pt>
                  <c:pt idx="3">
                    <c:v>Remembering</c:v>
                  </c:pt>
                  <c:pt idx="4">
                    <c:v>Seeing</c:v>
                  </c:pt>
                  <c:pt idx="5">
                    <c:v>Walking</c:v>
                  </c:pt>
                  <c:pt idx="6">
                    <c:v>Washing</c:v>
                  </c:pt>
                </c:lvl>
                <c:lvl>
                  <c:pt idx="0">
                    <c:v>12 to 24</c:v>
                  </c:pt>
                </c:lvl>
              </c:multiLvlStrCache>
            </c:multiLvlStrRef>
          </c:cat>
          <c:val>
            <c:numRef>
              <c:f>Adult_tables_charts!$X$83:$X$91</c:f>
              <c:numCache>
                <c:formatCode>0.0%</c:formatCode>
                <c:ptCount val="7"/>
                <c:pt idx="0">
                  <c:v>0.10325763805427288</c:v>
                </c:pt>
                <c:pt idx="1">
                  <c:v>0.10595546349041947</c:v>
                </c:pt>
                <c:pt idx="2">
                  <c:v>9.3719939535522878E-2</c:v>
                </c:pt>
                <c:pt idx="3">
                  <c:v>8.9794081242263984E-2</c:v>
                </c:pt>
                <c:pt idx="4">
                  <c:v>7.3314782213640753E-2</c:v>
                </c:pt>
                <c:pt idx="5">
                  <c:v>0.10328638497652583</c:v>
                </c:pt>
                <c:pt idx="6">
                  <c:v>0.11964146531566641</c:v>
                </c:pt>
              </c:numCache>
            </c:numRef>
          </c:val>
          <c:extLst>
            <c:ext xmlns:c16="http://schemas.microsoft.com/office/drawing/2014/chart" uri="{C3380CC4-5D6E-409C-BE32-E72D297353CC}">
              <c16:uniqueId val="{00000003-AD5D-41B6-B272-133A6339C59E}"/>
            </c:ext>
          </c:extLst>
        </c:ser>
        <c:dLbls>
          <c:showLegendKey val="0"/>
          <c:showVal val="0"/>
          <c:showCatName val="0"/>
          <c:showSerName val="0"/>
          <c:showPercent val="0"/>
          <c:showBubbleSize val="0"/>
        </c:dLbls>
        <c:gapWidth val="150"/>
        <c:overlap val="100"/>
        <c:axId val="1013891784"/>
        <c:axId val="1013900408"/>
      </c:barChart>
      <c:catAx>
        <c:axId val="1013891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013900408"/>
        <c:crosses val="autoZero"/>
        <c:auto val="1"/>
        <c:lblAlgn val="ctr"/>
        <c:lblOffset val="100"/>
        <c:noMultiLvlLbl val="0"/>
      </c:catAx>
      <c:valAx>
        <c:axId val="101390040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en-NZ" b="0"/>
                  <a:t>Percentage of people</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1013891784"/>
        <c:crosses val="autoZero"/>
        <c:crossBetween val="between"/>
        <c:majorUnit val="0.2"/>
      </c:valAx>
    </c:plotArea>
    <c:legend>
      <c:legendPos val="t"/>
      <c:overlay val="0"/>
      <c:spPr>
        <a:noFill/>
        <a:ln>
          <a:noFill/>
        </a:ln>
        <a:effectLst/>
      </c:spPr>
      <c:txPr>
        <a:bodyPr rot="0" vert="horz"/>
        <a:lstStyle/>
        <a:p>
          <a:pPr>
            <a:defRPr/>
          </a:pPr>
          <a:endParaRPr lang="en-US"/>
        </a:p>
      </c:txPr>
    </c:legend>
    <c:plotVisOnly val="1"/>
    <c:dispBlanksAs val="gap"/>
    <c:showDLblsOverMax val="0"/>
    <c:extLst/>
  </c:chart>
  <c:spPr>
    <a:ln>
      <a:noFill/>
    </a:ln>
  </c:spPr>
  <c:txPr>
    <a:bodyPr/>
    <a:lstStyle/>
    <a:p>
      <a:pPr>
        <a:defRPr sz="1000">
          <a:solidFill>
            <a:sysClr val="windowText" lastClr="000000"/>
          </a:solidFill>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[Disability_analysis_11March2022_clean - appendix A&amp;B_butchered.xlsx]Adult_tables_charts!PivotTable9</c:name>
    <c:fmtId val="-1"/>
  </c:pivotSource>
  <c:chart>
    <c:title>
      <c:tx>
        <c:rich>
          <a:bodyPr rot="0" vert="horz"/>
          <a:lstStyle/>
          <a:p>
            <a:pPr>
              <a:defRPr b="0"/>
            </a:pPr>
            <a:r>
              <a:rPr lang="en-NZ" b="0"/>
              <a:t>Vaccination status by functional difficulty and age - 25 to 64 year olds </a:t>
            </a:r>
          </a:p>
        </c:rich>
      </c:tx>
      <c:overlay val="0"/>
      <c:spPr>
        <a:noFill/>
        <a:ln>
          <a:noFill/>
        </a:ln>
        <a:effectLst/>
      </c:spPr>
    </c:title>
    <c:autoTitleDeleted val="0"/>
    <c:pivotFmts>
      <c:pivotFmt>
        <c:idx val="0"/>
        <c:spPr>
          <a:solidFill>
            <a:srgbClr val="3A9CAE"/>
          </a:solidFill>
          <a:ln>
            <a:noFill/>
          </a:ln>
          <a:effectLst/>
        </c:spPr>
        <c:marker>
          <c:symbol val="none"/>
        </c:marker>
        <c:dLbl>
          <c:idx val="0"/>
          <c:delete val="1"/>
          <c:extLst>
            <c:ext xmlns:c15="http://schemas.microsoft.com/office/drawing/2012/chart" uri="{CE6537A1-D6FC-4f65-9D91-7224C49458BB}"/>
          </c:extLst>
        </c:dLbl>
      </c:pivotFmt>
      <c:pivotFmt>
        <c:idx val="1"/>
        <c:spPr>
          <a:solidFill>
            <a:srgbClr val="E8731B"/>
          </a:solidFill>
          <a:ln>
            <a:noFill/>
          </a:ln>
          <a:effectLst/>
        </c:spPr>
        <c:marker>
          <c:symbol val="none"/>
        </c:marker>
        <c:dLbl>
          <c:idx val="0"/>
          <c:delete val="1"/>
          <c:extLst>
            <c:ext xmlns:c15="http://schemas.microsoft.com/office/drawing/2012/chart" uri="{CE6537A1-D6FC-4f65-9D91-7224C49458BB}"/>
          </c:extLst>
        </c:dLbl>
      </c:pivotFmt>
      <c:pivotFmt>
        <c:idx val="2"/>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3"/>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4"/>
        <c:spPr>
          <a:solidFill>
            <a:srgbClr val="3A9CAE"/>
          </a:solidFill>
          <a:ln>
            <a:noFill/>
          </a:ln>
          <a:effectLst/>
        </c:spPr>
        <c:marker>
          <c:symbol val="none"/>
        </c:marker>
        <c:dLbl>
          <c:idx val="0"/>
          <c:delete val="1"/>
          <c:extLst>
            <c:ext xmlns:c15="http://schemas.microsoft.com/office/drawing/2012/chart" uri="{CE6537A1-D6FC-4f65-9D91-7224C49458BB}"/>
          </c:extLst>
        </c:dLbl>
      </c:pivotFmt>
      <c:pivotFmt>
        <c:idx val="5"/>
        <c:spPr>
          <a:solidFill>
            <a:srgbClr val="E8731B"/>
          </a:solidFill>
          <a:ln>
            <a:noFill/>
          </a:ln>
          <a:effectLst/>
        </c:spPr>
        <c:marker>
          <c:symbol val="none"/>
        </c:marker>
        <c:dLbl>
          <c:idx val="0"/>
          <c:delete val="1"/>
          <c:extLst>
            <c:ext xmlns:c15="http://schemas.microsoft.com/office/drawing/2012/chart" uri="{CE6537A1-D6FC-4f65-9D91-7224C49458BB}"/>
          </c:extLst>
        </c:dLbl>
      </c:pivotFmt>
      <c:pivotFmt>
        <c:idx val="6"/>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7"/>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8"/>
        <c:spPr>
          <a:solidFill>
            <a:srgbClr val="3A9CAE"/>
          </a:solidFill>
          <a:ln>
            <a:noFill/>
          </a:ln>
          <a:effectLst/>
        </c:spPr>
        <c:marker>
          <c:symbol val="none"/>
        </c:marker>
        <c:dLbl>
          <c:idx val="0"/>
          <c:delete val="1"/>
          <c:extLst>
            <c:ext xmlns:c15="http://schemas.microsoft.com/office/drawing/2012/chart" uri="{CE6537A1-D6FC-4f65-9D91-7224C49458BB}"/>
          </c:extLst>
        </c:dLbl>
      </c:pivotFmt>
      <c:pivotFmt>
        <c:idx val="9"/>
        <c:spPr>
          <a:solidFill>
            <a:srgbClr val="E8731B"/>
          </a:solidFill>
          <a:ln>
            <a:noFill/>
          </a:ln>
          <a:effectLst/>
        </c:spPr>
        <c:marker>
          <c:symbol val="none"/>
        </c:marker>
        <c:dLbl>
          <c:idx val="0"/>
          <c:delete val="1"/>
          <c:extLst>
            <c:ext xmlns:c15="http://schemas.microsoft.com/office/drawing/2012/chart" uri="{CE6537A1-D6FC-4f65-9D91-7224C49458BB}"/>
          </c:extLst>
        </c:dLbl>
      </c:pivotFmt>
      <c:pivotFmt>
        <c:idx val="10"/>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11"/>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12"/>
        <c:spPr>
          <a:solidFill>
            <a:srgbClr val="3A9CAE"/>
          </a:solidFill>
          <a:ln>
            <a:noFill/>
          </a:ln>
          <a:effectLst/>
        </c:spPr>
        <c:marker>
          <c:symbol val="none"/>
        </c:marker>
        <c:dLbl>
          <c:idx val="0"/>
          <c:delete val="1"/>
          <c:extLst>
            <c:ext xmlns:c15="http://schemas.microsoft.com/office/drawing/2012/chart" uri="{CE6537A1-D6FC-4f65-9D91-7224C49458BB}"/>
          </c:extLst>
        </c:dLbl>
      </c:pivotFmt>
      <c:pivotFmt>
        <c:idx val="13"/>
        <c:spPr>
          <a:solidFill>
            <a:srgbClr val="E8731B"/>
          </a:solidFill>
          <a:ln>
            <a:noFill/>
          </a:ln>
          <a:effectLst/>
        </c:spPr>
        <c:marker>
          <c:symbol val="none"/>
        </c:marker>
        <c:dLbl>
          <c:idx val="0"/>
          <c:delete val="1"/>
          <c:extLst>
            <c:ext xmlns:c15="http://schemas.microsoft.com/office/drawing/2012/chart" uri="{CE6537A1-D6FC-4f65-9D91-7224C49458BB}"/>
          </c:extLst>
        </c:dLbl>
      </c:pivotFmt>
      <c:pivotFmt>
        <c:idx val="14"/>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15"/>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16"/>
        <c:spPr>
          <a:solidFill>
            <a:srgbClr val="3A9CAE"/>
          </a:solidFill>
          <a:ln>
            <a:noFill/>
          </a:ln>
          <a:effectLst/>
        </c:spPr>
        <c:marker>
          <c:symbol val="none"/>
        </c:marker>
        <c:dLbl>
          <c:idx val="0"/>
          <c:delete val="1"/>
          <c:extLst>
            <c:ext xmlns:c15="http://schemas.microsoft.com/office/drawing/2012/chart" uri="{CE6537A1-D6FC-4f65-9D91-7224C49458BB}"/>
          </c:extLst>
        </c:dLbl>
      </c:pivotFmt>
      <c:pivotFmt>
        <c:idx val="17"/>
        <c:spPr>
          <a:solidFill>
            <a:srgbClr val="E8731B"/>
          </a:solidFill>
          <a:ln>
            <a:noFill/>
          </a:ln>
          <a:effectLst/>
        </c:spPr>
        <c:marker>
          <c:symbol val="none"/>
        </c:marker>
        <c:dLbl>
          <c:idx val="0"/>
          <c:delete val="1"/>
          <c:extLst>
            <c:ext xmlns:c15="http://schemas.microsoft.com/office/drawing/2012/chart" uri="{CE6537A1-D6FC-4f65-9D91-7224C49458BB}"/>
          </c:extLst>
        </c:dLbl>
      </c:pivotFmt>
      <c:pivotFmt>
        <c:idx val="18"/>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19"/>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20"/>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21"/>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22"/>
        <c:spPr>
          <a:solidFill>
            <a:srgbClr val="E8731B"/>
          </a:solidFill>
          <a:ln>
            <a:noFill/>
          </a:ln>
          <a:effectLst/>
        </c:spPr>
        <c:marker>
          <c:symbol val="none"/>
        </c:marker>
        <c:dLbl>
          <c:idx val="0"/>
          <c:delete val="1"/>
          <c:extLst>
            <c:ext xmlns:c15="http://schemas.microsoft.com/office/drawing/2012/chart" uri="{CE6537A1-D6FC-4f65-9D91-7224C49458BB}"/>
          </c:extLst>
        </c:dLbl>
      </c:pivotFmt>
      <c:pivotFmt>
        <c:idx val="23"/>
        <c:spPr>
          <a:solidFill>
            <a:srgbClr val="3A9CAE"/>
          </a:solidFill>
          <a:ln>
            <a:noFill/>
          </a:ln>
          <a:effectLst/>
        </c:spPr>
        <c:marker>
          <c:symbol val="none"/>
        </c:marker>
        <c:dLbl>
          <c:idx val="0"/>
          <c:delete val="1"/>
          <c:extLst>
            <c:ext xmlns:c15="http://schemas.microsoft.com/office/drawing/2012/chart" uri="{CE6537A1-D6FC-4f65-9D91-7224C49458BB}"/>
          </c:extLst>
        </c:dLbl>
      </c:pivotFmt>
      <c:pivotFmt>
        <c:idx val="24"/>
        <c:spPr>
          <a:solidFill>
            <a:srgbClr val="F7B735"/>
          </a:solidFill>
          <a:ln>
            <a:noFill/>
          </a:ln>
          <a:effectLst/>
        </c:spPr>
        <c:marker>
          <c:symbol val="none"/>
        </c:marker>
        <c:dLbl>
          <c:idx val="0"/>
          <c:delete val="1"/>
          <c:extLst>
            <c:ext xmlns:c15="http://schemas.microsoft.com/office/drawing/2012/chart" uri="{CE6537A1-D6FC-4f65-9D91-7224C49458BB}"/>
          </c:extLst>
        </c:dLbl>
      </c:pivotFmt>
      <c:pivotFmt>
        <c:idx val="25"/>
        <c:spPr>
          <a:solidFill>
            <a:srgbClr val="26567F"/>
          </a:solidFill>
          <a:ln>
            <a:noFill/>
          </a:ln>
          <a:effectLst/>
        </c:spPr>
        <c:marker>
          <c:symbol val="none"/>
        </c:marker>
        <c:dLbl>
          <c:idx val="0"/>
          <c:delete val="1"/>
          <c:extLst>
            <c:ext xmlns:c15="http://schemas.microsoft.com/office/drawing/2012/chart" uri="{CE6537A1-D6FC-4f65-9D91-7224C49458BB}"/>
          </c:extLst>
        </c:dLbl>
      </c:pivotFmt>
      <c:pivotFmt>
        <c:idx val="26"/>
        <c:spPr>
          <a:solidFill>
            <a:srgbClr val="E8731B"/>
          </a:solidFill>
          <a:ln>
            <a:noFill/>
          </a:ln>
          <a:effectLst/>
        </c:spPr>
        <c:marker>
          <c:symbol val="none"/>
        </c:marker>
        <c:dLbl>
          <c:idx val="0"/>
          <c:delete val="1"/>
          <c:extLst>
            <c:ext xmlns:c15="http://schemas.microsoft.com/office/drawing/2012/chart" uri="{CE6537A1-D6FC-4f65-9D91-7224C49458BB}"/>
          </c:extLst>
        </c:dLbl>
      </c:pivotFmt>
      <c:pivotFmt>
        <c:idx val="27"/>
        <c:spPr>
          <a:solidFill>
            <a:srgbClr val="3A9CAE"/>
          </a:solidFill>
          <a:ln>
            <a:noFill/>
          </a:ln>
          <a:effectLst/>
        </c:spPr>
        <c:marker>
          <c:symbol val="none"/>
        </c:marker>
        <c:dLbl>
          <c:idx val="0"/>
          <c:delete val="1"/>
          <c:extLst>
            <c:ext xmlns:c15="http://schemas.microsoft.com/office/drawing/2012/chart" uri="{CE6537A1-D6FC-4f65-9D91-7224C49458BB}"/>
          </c:extLst>
        </c:dLbl>
      </c:pivotFmt>
    </c:pivotFmts>
    <c:plotArea>
      <c:layout/>
      <c:barChart>
        <c:barDir val="col"/>
        <c:grouping val="stacked"/>
        <c:varyColors val="0"/>
        <c:ser>
          <c:idx val="0"/>
          <c:order val="0"/>
          <c:tx>
            <c:strRef>
              <c:f>Adult_tables_charts!$U$94</c:f>
              <c:strCache>
                <c:ptCount val="1"/>
                <c:pt idx="0">
                  <c:v>Three or more doses</c:v>
                </c:pt>
              </c:strCache>
            </c:strRef>
          </c:tx>
          <c:spPr>
            <a:solidFill>
              <a:srgbClr val="F7B735"/>
            </a:solidFill>
            <a:ln>
              <a:noFill/>
            </a:ln>
            <a:effectLst/>
          </c:spPr>
          <c:invertIfNegative val="0"/>
          <c:cat>
            <c:multiLvlStrRef>
              <c:f>Adult_tables_charts!$T$95:$T$103</c:f>
              <c:multiLvlStrCache>
                <c:ptCount val="7"/>
                <c:lvl>
                  <c:pt idx="0">
                    <c:v>Non-disabled</c:v>
                  </c:pt>
                  <c:pt idx="1">
                    <c:v>Communication</c:v>
                  </c:pt>
                  <c:pt idx="2">
                    <c:v>Hearing</c:v>
                  </c:pt>
                  <c:pt idx="3">
                    <c:v>Remembering</c:v>
                  </c:pt>
                  <c:pt idx="4">
                    <c:v>Seeing</c:v>
                  </c:pt>
                  <c:pt idx="5">
                    <c:v>Walking</c:v>
                  </c:pt>
                  <c:pt idx="6">
                    <c:v>Washing</c:v>
                  </c:pt>
                </c:lvl>
                <c:lvl>
                  <c:pt idx="0">
                    <c:v>25 to 64</c:v>
                  </c:pt>
                </c:lvl>
              </c:multiLvlStrCache>
            </c:multiLvlStrRef>
          </c:cat>
          <c:val>
            <c:numRef>
              <c:f>Adult_tables_charts!$U$95:$U$103</c:f>
              <c:numCache>
                <c:formatCode>0%</c:formatCode>
                <c:ptCount val="7"/>
                <c:pt idx="0">
                  <c:v>0.52781883153666942</c:v>
                </c:pt>
                <c:pt idx="1">
                  <c:v>0.5570375829034635</c:v>
                </c:pt>
                <c:pt idx="2">
                  <c:v>0.64037315619810486</c:v>
                </c:pt>
                <c:pt idx="3">
                  <c:v>0.57664664539643251</c:v>
                </c:pt>
                <c:pt idx="4">
                  <c:v>0.63180428689349888</c:v>
                </c:pt>
                <c:pt idx="5">
                  <c:v>0.64184665226781856</c:v>
                </c:pt>
                <c:pt idx="6">
                  <c:v>0.61186230673921238</c:v>
                </c:pt>
              </c:numCache>
            </c:numRef>
          </c:val>
          <c:extLst>
            <c:ext xmlns:c16="http://schemas.microsoft.com/office/drawing/2014/chart" uri="{C3380CC4-5D6E-409C-BE32-E72D297353CC}">
              <c16:uniqueId val="{00000000-1C98-4B4F-B8C8-A82C6E94AD22}"/>
            </c:ext>
          </c:extLst>
        </c:ser>
        <c:ser>
          <c:idx val="1"/>
          <c:order val="1"/>
          <c:tx>
            <c:strRef>
              <c:f>Adult_tables_charts!$V$94</c:f>
              <c:strCache>
                <c:ptCount val="1"/>
                <c:pt idx="0">
                  <c:v>Two doses</c:v>
                </c:pt>
              </c:strCache>
            </c:strRef>
          </c:tx>
          <c:spPr>
            <a:solidFill>
              <a:srgbClr val="26567F"/>
            </a:solidFill>
            <a:ln>
              <a:noFill/>
            </a:ln>
            <a:effectLst/>
          </c:spPr>
          <c:invertIfNegative val="0"/>
          <c:cat>
            <c:multiLvlStrRef>
              <c:f>Adult_tables_charts!$T$95:$T$103</c:f>
              <c:multiLvlStrCache>
                <c:ptCount val="7"/>
                <c:lvl>
                  <c:pt idx="0">
                    <c:v>Non-disabled</c:v>
                  </c:pt>
                  <c:pt idx="1">
                    <c:v>Communication</c:v>
                  </c:pt>
                  <c:pt idx="2">
                    <c:v>Hearing</c:v>
                  </c:pt>
                  <c:pt idx="3">
                    <c:v>Remembering</c:v>
                  </c:pt>
                  <c:pt idx="4">
                    <c:v>Seeing</c:v>
                  </c:pt>
                  <c:pt idx="5">
                    <c:v>Walking</c:v>
                  </c:pt>
                  <c:pt idx="6">
                    <c:v>Washing</c:v>
                  </c:pt>
                </c:lvl>
                <c:lvl>
                  <c:pt idx="0">
                    <c:v>25 to 64</c:v>
                  </c:pt>
                </c:lvl>
              </c:multiLvlStrCache>
            </c:multiLvlStrRef>
          </c:cat>
          <c:val>
            <c:numRef>
              <c:f>Adult_tables_charts!$V$95:$V$103</c:f>
              <c:numCache>
                <c:formatCode>0%</c:formatCode>
                <c:ptCount val="7"/>
                <c:pt idx="0">
                  <c:v>0.33247297905477446</c:v>
                </c:pt>
                <c:pt idx="1">
                  <c:v>0.3262343404568902</c:v>
                </c:pt>
                <c:pt idx="2">
                  <c:v>0.26363517957735011</c:v>
                </c:pt>
                <c:pt idx="3">
                  <c:v>0.30880065400292939</c:v>
                </c:pt>
                <c:pt idx="4">
                  <c:v>0.27413078381393829</c:v>
                </c:pt>
                <c:pt idx="5">
                  <c:v>0.25370770338372928</c:v>
                </c:pt>
                <c:pt idx="6">
                  <c:v>0.26951462586866348</c:v>
                </c:pt>
              </c:numCache>
            </c:numRef>
          </c:val>
          <c:extLst>
            <c:ext xmlns:c16="http://schemas.microsoft.com/office/drawing/2014/chart" uri="{C3380CC4-5D6E-409C-BE32-E72D297353CC}">
              <c16:uniqueId val="{00000001-1C98-4B4F-B8C8-A82C6E94AD22}"/>
            </c:ext>
          </c:extLst>
        </c:ser>
        <c:ser>
          <c:idx val="2"/>
          <c:order val="2"/>
          <c:tx>
            <c:strRef>
              <c:f>Adult_tables_charts!$W$94</c:f>
              <c:strCache>
                <c:ptCount val="1"/>
                <c:pt idx="0">
                  <c:v>One dose</c:v>
                </c:pt>
              </c:strCache>
            </c:strRef>
          </c:tx>
          <c:spPr>
            <a:solidFill>
              <a:srgbClr val="E8731B"/>
            </a:solidFill>
            <a:ln>
              <a:noFill/>
            </a:ln>
            <a:effectLst/>
          </c:spPr>
          <c:invertIfNegative val="0"/>
          <c:cat>
            <c:multiLvlStrRef>
              <c:f>Adult_tables_charts!$T$95:$T$103</c:f>
              <c:multiLvlStrCache>
                <c:ptCount val="7"/>
                <c:lvl>
                  <c:pt idx="0">
                    <c:v>Non-disabled</c:v>
                  </c:pt>
                  <c:pt idx="1">
                    <c:v>Communication</c:v>
                  </c:pt>
                  <c:pt idx="2">
                    <c:v>Hearing</c:v>
                  </c:pt>
                  <c:pt idx="3">
                    <c:v>Remembering</c:v>
                  </c:pt>
                  <c:pt idx="4">
                    <c:v>Seeing</c:v>
                  </c:pt>
                  <c:pt idx="5">
                    <c:v>Walking</c:v>
                  </c:pt>
                  <c:pt idx="6">
                    <c:v>Washing</c:v>
                  </c:pt>
                </c:lvl>
                <c:lvl>
                  <c:pt idx="0">
                    <c:v>25 to 64</c:v>
                  </c:pt>
                </c:lvl>
              </c:multiLvlStrCache>
            </c:multiLvlStrRef>
          </c:cat>
          <c:val>
            <c:numRef>
              <c:f>Adult_tables_charts!$W$95:$W$103</c:f>
              <c:numCache>
                <c:formatCode>0%</c:formatCode>
                <c:ptCount val="7"/>
                <c:pt idx="0">
                  <c:v>2.0215486093068752E-2</c:v>
                </c:pt>
                <c:pt idx="1">
                  <c:v>1.6175386882829771E-2</c:v>
                </c:pt>
                <c:pt idx="2">
                  <c:v>1.4066621080394647E-2</c:v>
                </c:pt>
                <c:pt idx="3">
                  <c:v>1.5986738273931853E-2</c:v>
                </c:pt>
                <c:pt idx="4">
                  <c:v>1.2581297678764184E-2</c:v>
                </c:pt>
                <c:pt idx="5">
                  <c:v>1.3228941684665227E-2</c:v>
                </c:pt>
                <c:pt idx="6">
                  <c:v>1.5353121801432957E-2</c:v>
                </c:pt>
              </c:numCache>
            </c:numRef>
          </c:val>
          <c:extLst>
            <c:ext xmlns:c16="http://schemas.microsoft.com/office/drawing/2014/chart" uri="{C3380CC4-5D6E-409C-BE32-E72D297353CC}">
              <c16:uniqueId val="{00000002-1C98-4B4F-B8C8-A82C6E94AD22}"/>
            </c:ext>
          </c:extLst>
        </c:ser>
        <c:ser>
          <c:idx val="3"/>
          <c:order val="3"/>
          <c:tx>
            <c:strRef>
              <c:f>Adult_tables_charts!$X$94</c:f>
              <c:strCache>
                <c:ptCount val="1"/>
                <c:pt idx="0">
                  <c:v>No doses</c:v>
                </c:pt>
              </c:strCache>
            </c:strRef>
          </c:tx>
          <c:spPr>
            <a:solidFill>
              <a:srgbClr val="3A9CAE"/>
            </a:solidFill>
            <a:ln>
              <a:noFill/>
            </a:ln>
            <a:effectLst/>
          </c:spPr>
          <c:invertIfNegative val="0"/>
          <c:cat>
            <c:multiLvlStrRef>
              <c:f>Adult_tables_charts!$T$95:$T$103</c:f>
              <c:multiLvlStrCache>
                <c:ptCount val="7"/>
                <c:lvl>
                  <c:pt idx="0">
                    <c:v>Non-disabled</c:v>
                  </c:pt>
                  <c:pt idx="1">
                    <c:v>Communication</c:v>
                  </c:pt>
                  <c:pt idx="2">
                    <c:v>Hearing</c:v>
                  </c:pt>
                  <c:pt idx="3">
                    <c:v>Remembering</c:v>
                  </c:pt>
                  <c:pt idx="4">
                    <c:v>Seeing</c:v>
                  </c:pt>
                  <c:pt idx="5">
                    <c:v>Walking</c:v>
                  </c:pt>
                  <c:pt idx="6">
                    <c:v>Washing</c:v>
                  </c:pt>
                </c:lvl>
                <c:lvl>
                  <c:pt idx="0">
                    <c:v>25 to 64</c:v>
                  </c:pt>
                </c:lvl>
              </c:multiLvlStrCache>
            </c:multiLvlStrRef>
          </c:cat>
          <c:val>
            <c:numRef>
              <c:f>Adult_tables_charts!$X$95:$X$103</c:f>
              <c:numCache>
                <c:formatCode>0%</c:formatCode>
                <c:ptCount val="7"/>
                <c:pt idx="0">
                  <c:v>0.11949270331548736</c:v>
                </c:pt>
                <c:pt idx="1">
                  <c:v>0.10055268975681651</c:v>
                </c:pt>
                <c:pt idx="2">
                  <c:v>8.1925043144150306E-2</c:v>
                </c:pt>
                <c:pt idx="3">
                  <c:v>9.8565962326706252E-2</c:v>
                </c:pt>
                <c:pt idx="4">
                  <c:v>8.148363161379861E-2</c:v>
                </c:pt>
                <c:pt idx="5">
                  <c:v>9.1216702663786897E-2</c:v>
                </c:pt>
                <c:pt idx="6">
                  <c:v>0.10326994559069116</c:v>
                </c:pt>
              </c:numCache>
            </c:numRef>
          </c:val>
          <c:extLst>
            <c:ext xmlns:c16="http://schemas.microsoft.com/office/drawing/2014/chart" uri="{C3380CC4-5D6E-409C-BE32-E72D297353CC}">
              <c16:uniqueId val="{00000003-1C98-4B4F-B8C8-A82C6E94AD22}"/>
            </c:ext>
          </c:extLst>
        </c:ser>
        <c:dLbls>
          <c:showLegendKey val="0"/>
          <c:showVal val="0"/>
          <c:showCatName val="0"/>
          <c:showSerName val="0"/>
          <c:showPercent val="0"/>
          <c:showBubbleSize val="0"/>
        </c:dLbls>
        <c:gapWidth val="150"/>
        <c:overlap val="100"/>
        <c:axId val="1013898840"/>
        <c:axId val="1013894136"/>
      </c:barChart>
      <c:catAx>
        <c:axId val="1013898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013894136"/>
        <c:crosses val="autoZero"/>
        <c:auto val="1"/>
        <c:lblAlgn val="ctr"/>
        <c:lblOffset val="100"/>
        <c:noMultiLvlLbl val="0"/>
      </c:catAx>
      <c:valAx>
        <c:axId val="101389413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en-NZ" b="0"/>
                  <a:t>Percentage of people</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1013898840"/>
        <c:crosses val="autoZero"/>
        <c:crossBetween val="between"/>
        <c:majorUnit val="0.2"/>
      </c:valAx>
    </c:plotArea>
    <c:legend>
      <c:legendPos val="t"/>
      <c:overlay val="0"/>
      <c:spPr>
        <a:noFill/>
        <a:ln>
          <a:noFill/>
        </a:ln>
        <a:effectLst/>
      </c:spPr>
      <c:txPr>
        <a:bodyPr rot="0" vert="horz"/>
        <a:lstStyle/>
        <a:p>
          <a:pPr>
            <a:defRPr/>
          </a:pPr>
          <a:endParaRPr lang="en-US"/>
        </a:p>
      </c:txPr>
    </c:legend>
    <c:plotVisOnly val="1"/>
    <c:dispBlanksAs val="gap"/>
    <c:showDLblsOverMax val="0"/>
    <c:extLst/>
  </c:chart>
  <c:spPr>
    <a:ln>
      <a:noFill/>
    </a:ln>
  </c:spPr>
  <c:txPr>
    <a:bodyPr/>
    <a:lstStyle/>
    <a:p>
      <a:pPr>
        <a:defRPr sz="1000">
          <a:solidFill>
            <a:sysClr val="windowText" lastClr="000000"/>
          </a:solidFill>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[Disability_analysis_11March2022_clean - appendix A&amp;B_butchered.xlsx]Adult_tables_charts!PivotTable10</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NZ"/>
              <a:t>Vaccination status by functional difficulty and age - 65+ year olds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rgbClr val="F7B735"/>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rgbClr val="26567F"/>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rgbClr val="E8731B"/>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rgbClr val="3A9CAE"/>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Adult_tables_charts!$U$106</c:f>
              <c:strCache>
                <c:ptCount val="1"/>
                <c:pt idx="0">
                  <c:v>Three or more doses</c:v>
                </c:pt>
              </c:strCache>
            </c:strRef>
          </c:tx>
          <c:spPr>
            <a:solidFill>
              <a:srgbClr val="F7B735"/>
            </a:solidFill>
            <a:ln>
              <a:noFill/>
            </a:ln>
            <a:effectLst/>
          </c:spPr>
          <c:invertIfNegative val="0"/>
          <c:cat>
            <c:multiLvlStrRef>
              <c:f>Adult_tables_charts!$T$107:$T$115</c:f>
              <c:multiLvlStrCache>
                <c:ptCount val="7"/>
                <c:lvl>
                  <c:pt idx="0">
                    <c:v>Non-disabled</c:v>
                  </c:pt>
                  <c:pt idx="1">
                    <c:v>Communication</c:v>
                  </c:pt>
                  <c:pt idx="2">
                    <c:v>Hearing</c:v>
                  </c:pt>
                  <c:pt idx="3">
                    <c:v>Remembering</c:v>
                  </c:pt>
                  <c:pt idx="4">
                    <c:v>Seeing</c:v>
                  </c:pt>
                  <c:pt idx="5">
                    <c:v>Walking</c:v>
                  </c:pt>
                  <c:pt idx="6">
                    <c:v>Washing</c:v>
                  </c:pt>
                </c:lvl>
                <c:lvl>
                  <c:pt idx="0">
                    <c:v>65+</c:v>
                  </c:pt>
                </c:lvl>
              </c:multiLvlStrCache>
            </c:multiLvlStrRef>
          </c:cat>
          <c:val>
            <c:numRef>
              <c:f>Adult_tables_charts!$U$107:$U$115</c:f>
              <c:numCache>
                <c:formatCode>0%</c:formatCode>
                <c:ptCount val="7"/>
                <c:pt idx="0">
                  <c:v>0.75311402790339921</c:v>
                </c:pt>
                <c:pt idx="1">
                  <c:v>0.7896105101898705</c:v>
                </c:pt>
                <c:pt idx="2">
                  <c:v>0.85173094642622083</c:v>
                </c:pt>
                <c:pt idx="3">
                  <c:v>0.83830487882856963</c:v>
                </c:pt>
                <c:pt idx="4">
                  <c:v>0.82683836532587374</c:v>
                </c:pt>
                <c:pt idx="5">
                  <c:v>0.83888449043107916</c:v>
                </c:pt>
                <c:pt idx="6">
                  <c:v>0.79780458056647241</c:v>
                </c:pt>
              </c:numCache>
            </c:numRef>
          </c:val>
          <c:extLst>
            <c:ext xmlns:c16="http://schemas.microsoft.com/office/drawing/2014/chart" uri="{C3380CC4-5D6E-409C-BE32-E72D297353CC}">
              <c16:uniqueId val="{00000000-668B-4387-811D-1BCCB5100030}"/>
            </c:ext>
          </c:extLst>
        </c:ser>
        <c:ser>
          <c:idx val="1"/>
          <c:order val="1"/>
          <c:tx>
            <c:strRef>
              <c:f>Adult_tables_charts!$V$106</c:f>
              <c:strCache>
                <c:ptCount val="1"/>
                <c:pt idx="0">
                  <c:v>Two doses</c:v>
                </c:pt>
              </c:strCache>
            </c:strRef>
          </c:tx>
          <c:spPr>
            <a:solidFill>
              <a:srgbClr val="26567F"/>
            </a:solidFill>
            <a:ln>
              <a:noFill/>
            </a:ln>
            <a:effectLst/>
          </c:spPr>
          <c:invertIfNegative val="0"/>
          <c:cat>
            <c:multiLvlStrRef>
              <c:f>Adult_tables_charts!$T$107:$T$115</c:f>
              <c:multiLvlStrCache>
                <c:ptCount val="7"/>
                <c:lvl>
                  <c:pt idx="0">
                    <c:v>Non-disabled</c:v>
                  </c:pt>
                  <c:pt idx="1">
                    <c:v>Communication</c:v>
                  </c:pt>
                  <c:pt idx="2">
                    <c:v>Hearing</c:v>
                  </c:pt>
                  <c:pt idx="3">
                    <c:v>Remembering</c:v>
                  </c:pt>
                  <c:pt idx="4">
                    <c:v>Seeing</c:v>
                  </c:pt>
                  <c:pt idx="5">
                    <c:v>Walking</c:v>
                  </c:pt>
                  <c:pt idx="6">
                    <c:v>Washing</c:v>
                  </c:pt>
                </c:lvl>
                <c:lvl>
                  <c:pt idx="0">
                    <c:v>65+</c:v>
                  </c:pt>
                </c:lvl>
              </c:multiLvlStrCache>
            </c:multiLvlStrRef>
          </c:cat>
          <c:val>
            <c:numRef>
              <c:f>Adult_tables_charts!$V$107:$V$115</c:f>
              <c:numCache>
                <c:formatCode>0%</c:formatCode>
                <c:ptCount val="7"/>
                <c:pt idx="0">
                  <c:v>9.8452422496492484E-2</c:v>
                </c:pt>
                <c:pt idx="1">
                  <c:v>0.14103337820899681</c:v>
                </c:pt>
                <c:pt idx="2">
                  <c:v>9.399763064367514E-2</c:v>
                </c:pt>
                <c:pt idx="3">
                  <c:v>0.10176481872242471</c:v>
                </c:pt>
                <c:pt idx="4">
                  <c:v>0.10925693707597826</c:v>
                </c:pt>
                <c:pt idx="5">
                  <c:v>0.10191378416009172</c:v>
                </c:pt>
                <c:pt idx="6">
                  <c:v>0.13352080227673127</c:v>
                </c:pt>
              </c:numCache>
            </c:numRef>
          </c:val>
          <c:extLst>
            <c:ext xmlns:c16="http://schemas.microsoft.com/office/drawing/2014/chart" uri="{C3380CC4-5D6E-409C-BE32-E72D297353CC}">
              <c16:uniqueId val="{00000001-668B-4387-811D-1BCCB5100030}"/>
            </c:ext>
          </c:extLst>
        </c:ser>
        <c:ser>
          <c:idx val="2"/>
          <c:order val="2"/>
          <c:tx>
            <c:strRef>
              <c:f>Adult_tables_charts!$W$106</c:f>
              <c:strCache>
                <c:ptCount val="1"/>
                <c:pt idx="0">
                  <c:v>One dose</c:v>
                </c:pt>
              </c:strCache>
            </c:strRef>
          </c:tx>
          <c:spPr>
            <a:solidFill>
              <a:srgbClr val="E8731B"/>
            </a:solidFill>
            <a:ln>
              <a:noFill/>
            </a:ln>
            <a:effectLst/>
          </c:spPr>
          <c:invertIfNegative val="0"/>
          <c:cat>
            <c:multiLvlStrRef>
              <c:f>Adult_tables_charts!$T$107:$T$115</c:f>
              <c:multiLvlStrCache>
                <c:ptCount val="7"/>
                <c:lvl>
                  <c:pt idx="0">
                    <c:v>Non-disabled</c:v>
                  </c:pt>
                  <c:pt idx="1">
                    <c:v>Communication</c:v>
                  </c:pt>
                  <c:pt idx="2">
                    <c:v>Hearing</c:v>
                  </c:pt>
                  <c:pt idx="3">
                    <c:v>Remembering</c:v>
                  </c:pt>
                  <c:pt idx="4">
                    <c:v>Seeing</c:v>
                  </c:pt>
                  <c:pt idx="5">
                    <c:v>Walking</c:v>
                  </c:pt>
                  <c:pt idx="6">
                    <c:v>Washing</c:v>
                  </c:pt>
                </c:lvl>
                <c:lvl>
                  <c:pt idx="0">
                    <c:v>65+</c:v>
                  </c:pt>
                </c:lvl>
              </c:multiLvlStrCache>
            </c:multiLvlStrRef>
          </c:cat>
          <c:val>
            <c:numRef>
              <c:f>Adult_tables_charts!$W$107:$W$115</c:f>
              <c:numCache>
                <c:formatCode>0%</c:formatCode>
                <c:ptCount val="7"/>
                <c:pt idx="0">
                  <c:v>8.0334441967624074E-3</c:v>
                </c:pt>
                <c:pt idx="1">
                  <c:v>8.5418504247713658E-3</c:v>
                </c:pt>
                <c:pt idx="2">
                  <c:v>5.1072791891536131E-3</c:v>
                </c:pt>
                <c:pt idx="3">
                  <c:v>5.6749152759127822E-3</c:v>
                </c:pt>
                <c:pt idx="4">
                  <c:v>5.8358252146233237E-3</c:v>
                </c:pt>
                <c:pt idx="5">
                  <c:v>5.3919025908433209E-3</c:v>
                </c:pt>
                <c:pt idx="6">
                  <c:v>8.131183087139178E-3</c:v>
                </c:pt>
              </c:numCache>
            </c:numRef>
          </c:val>
          <c:extLst>
            <c:ext xmlns:c16="http://schemas.microsoft.com/office/drawing/2014/chart" uri="{C3380CC4-5D6E-409C-BE32-E72D297353CC}">
              <c16:uniqueId val="{00000002-668B-4387-811D-1BCCB5100030}"/>
            </c:ext>
          </c:extLst>
        </c:ser>
        <c:ser>
          <c:idx val="3"/>
          <c:order val="3"/>
          <c:tx>
            <c:strRef>
              <c:f>Adult_tables_charts!$X$106</c:f>
              <c:strCache>
                <c:ptCount val="1"/>
                <c:pt idx="0">
                  <c:v>No doses</c:v>
                </c:pt>
              </c:strCache>
            </c:strRef>
          </c:tx>
          <c:spPr>
            <a:solidFill>
              <a:srgbClr val="3A9CAE"/>
            </a:solidFill>
            <a:ln>
              <a:noFill/>
            </a:ln>
            <a:effectLst/>
          </c:spPr>
          <c:invertIfNegative val="0"/>
          <c:cat>
            <c:multiLvlStrRef>
              <c:f>Adult_tables_charts!$T$107:$T$115</c:f>
              <c:multiLvlStrCache>
                <c:ptCount val="7"/>
                <c:lvl>
                  <c:pt idx="0">
                    <c:v>Non-disabled</c:v>
                  </c:pt>
                  <c:pt idx="1">
                    <c:v>Communication</c:v>
                  </c:pt>
                  <c:pt idx="2">
                    <c:v>Hearing</c:v>
                  </c:pt>
                  <c:pt idx="3">
                    <c:v>Remembering</c:v>
                  </c:pt>
                  <c:pt idx="4">
                    <c:v>Seeing</c:v>
                  </c:pt>
                  <c:pt idx="5">
                    <c:v>Walking</c:v>
                  </c:pt>
                  <c:pt idx="6">
                    <c:v>Washing</c:v>
                  </c:pt>
                </c:lvl>
                <c:lvl>
                  <c:pt idx="0">
                    <c:v>65+</c:v>
                  </c:pt>
                </c:lvl>
              </c:multiLvlStrCache>
            </c:multiLvlStrRef>
          </c:cat>
          <c:val>
            <c:numRef>
              <c:f>Adult_tables_charts!$X$107:$X$115</c:f>
              <c:numCache>
                <c:formatCode>0%</c:formatCode>
                <c:ptCount val="7"/>
                <c:pt idx="0">
                  <c:v>0.14040010540334585</c:v>
                </c:pt>
                <c:pt idx="1">
                  <c:v>6.0814261176361357E-2</c:v>
                </c:pt>
                <c:pt idx="2">
                  <c:v>4.9164143740950378E-2</c:v>
                </c:pt>
                <c:pt idx="3">
                  <c:v>5.425538717309291E-2</c:v>
                </c:pt>
                <c:pt idx="4">
                  <c:v>5.8068872383524643E-2</c:v>
                </c:pt>
                <c:pt idx="5">
                  <c:v>5.3809822817985749E-2</c:v>
                </c:pt>
                <c:pt idx="6">
                  <c:v>6.0543434069657134E-2</c:v>
                </c:pt>
              </c:numCache>
            </c:numRef>
          </c:val>
          <c:extLst>
            <c:ext xmlns:c16="http://schemas.microsoft.com/office/drawing/2014/chart" uri="{C3380CC4-5D6E-409C-BE32-E72D297353CC}">
              <c16:uniqueId val="{00000003-668B-4387-811D-1BCCB5100030}"/>
            </c:ext>
          </c:extLst>
        </c:ser>
        <c:dLbls>
          <c:showLegendKey val="0"/>
          <c:showVal val="0"/>
          <c:showCatName val="0"/>
          <c:showSerName val="0"/>
          <c:showPercent val="0"/>
          <c:showBubbleSize val="0"/>
        </c:dLbls>
        <c:gapWidth val="150"/>
        <c:overlap val="100"/>
        <c:axId val="1013889824"/>
        <c:axId val="1013897272"/>
      </c:barChart>
      <c:catAx>
        <c:axId val="101388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13897272"/>
        <c:crosses val="autoZero"/>
        <c:auto val="1"/>
        <c:lblAlgn val="ctr"/>
        <c:lblOffset val="100"/>
        <c:noMultiLvlLbl val="0"/>
      </c:catAx>
      <c:valAx>
        <c:axId val="101389727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a:t>Percentage of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13889824"/>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NZ"/>
              <a:t>% of children aged 5-11 vaccinated by disability status and total ethnicity</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'[Disability_analysis_11March2022_clean - appendix A&amp;B_butchered.xlsx]Children_tables_charts'!$I$3</c:f>
              <c:strCache>
                <c:ptCount val="1"/>
                <c:pt idx="0">
                  <c:v>Non-disabled</c:v>
                </c:pt>
              </c:strCache>
            </c:strRef>
          </c:tx>
          <c:spPr>
            <a:solidFill>
              <a:srgbClr val="26567F"/>
            </a:solidFill>
            <a:ln>
              <a:solidFill>
                <a:srgbClr val="26567F"/>
              </a:solidFill>
            </a:ln>
            <a:effectLst/>
          </c:spPr>
          <c:invertIfNegative val="0"/>
          <c:cat>
            <c:strRef>
              <c:f>'[Disability_analysis_11March2022_clean - appendix A&amp;B_butchered.xlsx]Children_tables_charts'!$H$4:$H$10</c:f>
              <c:strCache>
                <c:ptCount val="7"/>
                <c:pt idx="0">
                  <c:v>All</c:v>
                </c:pt>
                <c:pt idx="1">
                  <c:v>European</c:v>
                </c:pt>
                <c:pt idx="2">
                  <c:v>Maori</c:v>
                </c:pt>
                <c:pt idx="3">
                  <c:v>Pacific</c:v>
                </c:pt>
                <c:pt idx="4">
                  <c:v>Asian</c:v>
                </c:pt>
                <c:pt idx="5">
                  <c:v>MELAA</c:v>
                </c:pt>
                <c:pt idx="6">
                  <c:v>Other</c:v>
                </c:pt>
              </c:strCache>
            </c:strRef>
          </c:cat>
          <c:val>
            <c:numRef>
              <c:f>'[Disability_analysis_11March2022_clean - appendix A&amp;B_butchered.xlsx]Children_tables_charts'!$I$4:$I$10</c:f>
              <c:numCache>
                <c:formatCode>0%</c:formatCode>
                <c:ptCount val="7"/>
                <c:pt idx="0">
                  <c:v>0.51842337846755981</c:v>
                </c:pt>
                <c:pt idx="1">
                  <c:v>0.53106999397277832</c:v>
                </c:pt>
                <c:pt idx="2">
                  <c:v>0.32150357961654663</c:v>
                </c:pt>
                <c:pt idx="3">
                  <c:v>0.4070509672164917</c:v>
                </c:pt>
                <c:pt idx="4">
                  <c:v>0.69011670351028442</c:v>
                </c:pt>
                <c:pt idx="5">
                  <c:v>0.46438995003700256</c:v>
                </c:pt>
                <c:pt idx="6">
                  <c:v>0.59570497274398804</c:v>
                </c:pt>
              </c:numCache>
            </c:numRef>
          </c:val>
          <c:extLst>
            <c:ext xmlns:c16="http://schemas.microsoft.com/office/drawing/2014/chart" uri="{C3380CC4-5D6E-409C-BE32-E72D297353CC}">
              <c16:uniqueId val="{00000000-ECF1-4708-A016-E6BB0ACC9736}"/>
            </c:ext>
          </c:extLst>
        </c:ser>
        <c:ser>
          <c:idx val="1"/>
          <c:order val="1"/>
          <c:tx>
            <c:strRef>
              <c:f>'[Disability_analysis_11March2022_clean - appendix A&amp;B_butchered.xlsx]Children_tables_charts'!$J$3</c:f>
              <c:strCache>
                <c:ptCount val="1"/>
                <c:pt idx="0">
                  <c:v>Disabled</c:v>
                </c:pt>
              </c:strCache>
            </c:strRef>
          </c:tx>
          <c:spPr>
            <a:solidFill>
              <a:srgbClr val="F7B735"/>
            </a:solidFill>
            <a:ln>
              <a:noFill/>
            </a:ln>
            <a:effectLst/>
          </c:spPr>
          <c:invertIfNegative val="0"/>
          <c:cat>
            <c:strRef>
              <c:f>'[Disability_analysis_11March2022_clean - appendix A&amp;B_butchered.xlsx]Children_tables_charts'!$H$4:$H$10</c:f>
              <c:strCache>
                <c:ptCount val="7"/>
                <c:pt idx="0">
                  <c:v>All</c:v>
                </c:pt>
                <c:pt idx="1">
                  <c:v>European</c:v>
                </c:pt>
                <c:pt idx="2">
                  <c:v>Maori</c:v>
                </c:pt>
                <c:pt idx="3">
                  <c:v>Pacific</c:v>
                </c:pt>
                <c:pt idx="4">
                  <c:v>Asian</c:v>
                </c:pt>
                <c:pt idx="5">
                  <c:v>MELAA</c:v>
                </c:pt>
                <c:pt idx="6">
                  <c:v>Other</c:v>
                </c:pt>
              </c:strCache>
            </c:strRef>
          </c:cat>
          <c:val>
            <c:numRef>
              <c:f>'[Disability_analysis_11March2022_clean - appendix A&amp;B_butchered.xlsx]Children_tables_charts'!$J$4:$J$10</c:f>
              <c:numCache>
                <c:formatCode>0%</c:formatCode>
                <c:ptCount val="7"/>
                <c:pt idx="0">
                  <c:v>0.53959596157073975</c:v>
                </c:pt>
                <c:pt idx="1">
                  <c:v>0.55968546867370605</c:v>
                </c:pt>
                <c:pt idx="2">
                  <c:v>0.39424547553062439</c:v>
                </c:pt>
                <c:pt idx="3">
                  <c:v>0.44178524613380432</c:v>
                </c:pt>
                <c:pt idx="4">
                  <c:v>0.69253730773925781</c:v>
                </c:pt>
                <c:pt idx="5">
                  <c:v>0.49268293380737305</c:v>
                </c:pt>
                <c:pt idx="6">
                  <c:v>0.63594472408294678</c:v>
                </c:pt>
              </c:numCache>
            </c:numRef>
          </c:val>
          <c:extLst>
            <c:ext xmlns:c16="http://schemas.microsoft.com/office/drawing/2014/chart" uri="{C3380CC4-5D6E-409C-BE32-E72D297353CC}">
              <c16:uniqueId val="{00000001-ECF1-4708-A016-E6BB0ACC9736}"/>
            </c:ext>
          </c:extLst>
        </c:ser>
        <c:dLbls>
          <c:showLegendKey val="0"/>
          <c:showVal val="0"/>
          <c:showCatName val="0"/>
          <c:showSerName val="0"/>
          <c:showPercent val="0"/>
          <c:showBubbleSize val="0"/>
        </c:dLbls>
        <c:gapWidth val="219"/>
        <c:overlap val="-27"/>
        <c:axId val="1013899232"/>
        <c:axId val="1013899624"/>
      </c:barChart>
      <c:catAx>
        <c:axId val="101389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13899624"/>
        <c:crosses val="autoZero"/>
        <c:auto val="1"/>
        <c:lblAlgn val="ctr"/>
        <c:lblOffset val="100"/>
        <c:noMultiLvlLbl val="0"/>
      </c:catAx>
      <c:valAx>
        <c:axId val="1013899624"/>
        <c:scaling>
          <c:orientation val="minMax"/>
          <c:max val="0.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a:t>% vaccination (1+ doses)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13899232"/>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FE0135C8C564A53AEA5DE84A9A5C5AC"/>
        <w:category>
          <w:name w:val="General"/>
          <w:gallery w:val="placeholder"/>
        </w:category>
        <w:types>
          <w:type w:val="bbPlcHdr"/>
        </w:types>
        <w:behaviors>
          <w:behavior w:val="content"/>
        </w:behaviors>
        <w:guid w:val="{671CBBF9-2830-45BF-B04E-EDE8003BB1A0}"/>
      </w:docPartPr>
      <w:docPartBody>
        <w:p w:rsidR="000355A6" w:rsidRDefault="00B12573">
          <w:pPr>
            <w:pStyle w:val="8FE0135C8C564A53AEA5DE84A9A5C5AC"/>
          </w:pPr>
          <w:r>
            <w:rPr>
              <w:rStyle w:val="PlaceholderText"/>
            </w:rPr>
            <w:t>[Insert title]</w:t>
          </w:r>
        </w:p>
      </w:docPartBody>
    </w:docPart>
    <w:docPart>
      <w:docPartPr>
        <w:name w:val="532003B2E7DE469C86811DBACE2A09D4"/>
        <w:category>
          <w:name w:val="General"/>
          <w:gallery w:val="placeholder"/>
        </w:category>
        <w:types>
          <w:type w:val="bbPlcHdr"/>
        </w:types>
        <w:behaviors>
          <w:behavior w:val="content"/>
        </w:behaviors>
        <w:guid w:val="{7A1E5963-C7B5-4A33-AE66-9E85C3A3E84B}"/>
      </w:docPartPr>
      <w:docPartBody>
        <w:p w:rsidR="0042695C" w:rsidRDefault="000355A6" w:rsidP="000355A6">
          <w:pPr>
            <w:pStyle w:val="532003B2E7DE469C86811DBACE2A09D4"/>
          </w:pPr>
          <w:r>
            <w:rPr>
              <w:rStyle w:val="PlaceholderText"/>
            </w:rPr>
            <w:t>[Insert title]</w:t>
          </w:r>
        </w:p>
      </w:docPartBody>
    </w:docPart>
    <w:docPart>
      <w:docPartPr>
        <w:name w:val="712A3290AC56434FAC3021A1FB6F3A82"/>
        <w:category>
          <w:name w:val="General"/>
          <w:gallery w:val="placeholder"/>
        </w:category>
        <w:types>
          <w:type w:val="bbPlcHdr"/>
        </w:types>
        <w:behaviors>
          <w:behavior w:val="content"/>
        </w:behaviors>
        <w:guid w:val="{1CE2827A-8BF4-404A-94E8-AC5D6484C6F3}"/>
      </w:docPartPr>
      <w:docPartBody>
        <w:p w:rsidR="0042695C" w:rsidRDefault="000355A6" w:rsidP="000355A6">
          <w:pPr>
            <w:pStyle w:val="712A3290AC56434FAC3021A1FB6F3A82"/>
          </w:pPr>
          <w:r>
            <w:rPr>
              <w:rStyle w:val="PlaceholderText"/>
            </w:rPr>
            <w:t>[Insert title]</w:t>
          </w:r>
        </w:p>
      </w:docPartBody>
    </w:docPart>
    <w:docPart>
      <w:docPartPr>
        <w:name w:val="E1630E66164D488C9220514DAAEE930D"/>
        <w:category>
          <w:name w:val="General"/>
          <w:gallery w:val="placeholder"/>
        </w:category>
        <w:types>
          <w:type w:val="bbPlcHdr"/>
        </w:types>
        <w:behaviors>
          <w:behavior w:val="content"/>
        </w:behaviors>
        <w:guid w:val="{33C5CECF-8035-4E7B-9066-483B1BB8B3E3}"/>
      </w:docPartPr>
      <w:docPartBody>
        <w:p w:rsidR="0042695C" w:rsidRDefault="000355A6" w:rsidP="000355A6">
          <w:pPr>
            <w:pStyle w:val="E1630E66164D488C9220514DAAEE930D"/>
          </w:pPr>
          <w:r>
            <w:rPr>
              <w:rStyle w:val="PlaceholderText"/>
            </w:rPr>
            <w:t>[Insert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B08"/>
    <w:rsid w:val="000355A6"/>
    <w:rsid w:val="0008576B"/>
    <w:rsid w:val="002459CA"/>
    <w:rsid w:val="002A4BD8"/>
    <w:rsid w:val="002C6763"/>
    <w:rsid w:val="00312E7A"/>
    <w:rsid w:val="003E419B"/>
    <w:rsid w:val="0042695C"/>
    <w:rsid w:val="00427F03"/>
    <w:rsid w:val="00463F2A"/>
    <w:rsid w:val="005830FA"/>
    <w:rsid w:val="006E6278"/>
    <w:rsid w:val="007871B1"/>
    <w:rsid w:val="008B454D"/>
    <w:rsid w:val="00933918"/>
    <w:rsid w:val="009C304C"/>
    <w:rsid w:val="009C36F1"/>
    <w:rsid w:val="00A55D98"/>
    <w:rsid w:val="00B03D1F"/>
    <w:rsid w:val="00B12573"/>
    <w:rsid w:val="00B61CA7"/>
    <w:rsid w:val="00BA0BE5"/>
    <w:rsid w:val="00CC2CCE"/>
    <w:rsid w:val="00CF142F"/>
    <w:rsid w:val="00D85D25"/>
    <w:rsid w:val="00DE234F"/>
    <w:rsid w:val="00DF6CEA"/>
    <w:rsid w:val="00E77FA5"/>
    <w:rsid w:val="00E96B08"/>
    <w:rsid w:val="00F43F2E"/>
    <w:rsid w:val="00F713D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59CA"/>
    <w:rPr>
      <w:color w:val="808080"/>
    </w:rPr>
  </w:style>
  <w:style w:type="paragraph" w:customStyle="1" w:styleId="8FE0135C8C564A53AEA5DE84A9A5C5AC">
    <w:name w:val="8FE0135C8C564A53AEA5DE84A9A5C5AC"/>
  </w:style>
  <w:style w:type="paragraph" w:customStyle="1" w:styleId="532003B2E7DE469C86811DBACE2A09D4">
    <w:name w:val="532003B2E7DE469C86811DBACE2A09D4"/>
    <w:rsid w:val="000355A6"/>
  </w:style>
  <w:style w:type="paragraph" w:customStyle="1" w:styleId="712A3290AC56434FAC3021A1FB6F3A82">
    <w:name w:val="712A3290AC56434FAC3021A1FB6F3A82"/>
    <w:rsid w:val="000355A6"/>
  </w:style>
  <w:style w:type="paragraph" w:customStyle="1" w:styleId="E1630E66164D488C9220514DAAEE930D">
    <w:name w:val="E1630E66164D488C9220514DAAEE930D"/>
    <w:rsid w:val="000355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Social Wellbeing Agency 2020">
      <a:dk1>
        <a:srgbClr val="2A2A3E"/>
      </a:dk1>
      <a:lt1>
        <a:sysClr val="window" lastClr="FFFFFF"/>
      </a:lt1>
      <a:dk2>
        <a:srgbClr val="2A2A3E"/>
      </a:dk2>
      <a:lt2>
        <a:srgbClr val="F2F1F3"/>
      </a:lt2>
      <a:accent1>
        <a:srgbClr val="26567F"/>
      </a:accent1>
      <a:accent2>
        <a:srgbClr val="2C86B4"/>
      </a:accent2>
      <a:accent3>
        <a:srgbClr val="E8731B"/>
      </a:accent3>
      <a:accent4>
        <a:srgbClr val="6C9B5F"/>
      </a:accent4>
      <a:accent5>
        <a:srgbClr val="3A9CAE"/>
      </a:accent5>
      <a:accent6>
        <a:srgbClr val="979AA0"/>
      </a:accent6>
      <a:hlink>
        <a:srgbClr val="26567F"/>
      </a:hlink>
      <a:folHlink>
        <a:srgbClr val="979AA0"/>
      </a:folHlink>
    </a:clrScheme>
    <a:fontScheme name="SIA theme fonts">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B5570-7919-4E28-AB8B-20514EB17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Template_Stationery_Briefing.dotx</Template>
  <TotalTime>1</TotalTime>
  <Pages>19</Pages>
  <Words>2880</Words>
  <Characters>16387</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Report</vt:lpstr>
    </vt:vector>
  </TitlesOfParts>
  <Company>Social Investment Agency (SIA)</Company>
  <LinksUpToDate>false</LinksUpToDate>
  <CharactersWithSpaces>19229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Josh Logan</dc:creator>
  <cp:lastModifiedBy>Louise Yarrall</cp:lastModifiedBy>
  <cp:revision>2</cp:revision>
  <cp:lastPrinted>2017-06-29T13:08:00Z</cp:lastPrinted>
  <dcterms:created xsi:type="dcterms:W3CDTF">2022-05-08T22:52:00Z</dcterms:created>
  <dcterms:modified xsi:type="dcterms:W3CDTF">2022-05-08T22:52:00Z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A11909079</vt:lpwstr>
  </property>
  <property fmtid="{D5CDD505-2E9C-101B-9397-08002B2CF9AE}" pid="4" name="Objective-Title">
    <vt:lpwstr>report template with track changes</vt:lpwstr>
  </property>
  <property fmtid="{D5CDD505-2E9C-101B-9397-08002B2CF9AE}" pid="5" name="Objective-Comment">
    <vt:lpwstr/>
  </property>
  <property fmtid="{D5CDD505-2E9C-101B-9397-08002B2CF9AE}" pid="6" name="Objective-CreationStamp">
    <vt:filetime>2019-08-01T19:41:55Z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2019-11-14T02:36:59Z</vt:filetime>
  </property>
  <property fmtid="{D5CDD505-2E9C-101B-9397-08002B2CF9AE}" pid="11" name="Objective-Owner">
    <vt:lpwstr>Rosalinda Pierce</vt:lpwstr>
  </property>
  <property fmtid="{D5CDD505-2E9C-101B-9397-08002B2CF9AE}" pid="12" name="Objective-Path">
    <vt:lpwstr>Global Folder:SIA INFORMATION REPOSITORY:Delivery:Standards, Templates, and Guidance:Insights:Process - Templates:</vt:lpwstr>
  </property>
  <property fmtid="{D5CDD505-2E9C-101B-9397-08002B2CF9AE}" pid="13" name="Objective-Parent">
    <vt:lpwstr>Process - Templates</vt:lpwstr>
  </property>
  <property fmtid="{D5CDD505-2E9C-101B-9397-08002B2CF9AE}" pid="14" name="Objective-State">
    <vt:lpwstr>Being Drafted</vt:lpwstr>
  </property>
  <property fmtid="{D5CDD505-2E9C-101B-9397-08002B2CF9AE}" pid="15" name="Objective-Version">
    <vt:lpwstr>0.4</vt:lpwstr>
  </property>
  <property fmtid="{D5CDD505-2E9C-101B-9397-08002B2CF9AE}" pid="16" name="Objective-VersionNumber">
    <vt:r8>4</vt:r8>
  </property>
  <property fmtid="{D5CDD505-2E9C-101B-9397-08002B2CF9AE}" pid="17" name="Objective-VersionComment">
    <vt:lpwstr>Trivial tweak to show tracked changes below ToC</vt:lpwstr>
  </property>
  <property fmtid="{D5CDD505-2E9C-101B-9397-08002B2CF9AE}" pid="18" name="Objective-FileNumber">
    <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Report Type [system]">
    <vt:lpwstr>General</vt:lpwstr>
  </property>
  <property fmtid="{D5CDD505-2E9C-101B-9397-08002B2CF9AE}" pid="23" name="Objective-Email is Vaulted? [system]">
    <vt:lpwstr/>
  </property>
</Properties>
</file>